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53F20E9D"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20</w:t>
      </w:r>
      <w:r w:rsidR="00F810A9" w:rsidRPr="001A6A39">
        <w:rPr>
          <w:b/>
          <w:lang w:val="de-DE"/>
        </w:rPr>
        <w:t>-bis</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9D7694" w:rsidRPr="001A6A39">
        <w:rPr>
          <w:b/>
          <w:bCs/>
          <w:lang w:val="de-DE"/>
        </w:rPr>
        <w:t>0</w:t>
      </w:r>
      <w:r w:rsidR="00545133" w:rsidRPr="001A6A39">
        <w:rPr>
          <w:b/>
          <w:bCs/>
          <w:lang w:val="de-DE"/>
        </w:rPr>
        <w:t>2832</w:t>
      </w:r>
    </w:p>
    <w:p w14:paraId="37C6959E" w14:textId="642345B2" w:rsidR="00F04C42" w:rsidRPr="00AC6352" w:rsidRDefault="00A65A09" w:rsidP="00E25422">
      <w:pPr>
        <w:rPr>
          <w:b/>
        </w:rPr>
      </w:pPr>
      <w:r>
        <w:rPr>
          <w:b/>
          <w:bCs/>
        </w:rPr>
        <w:t>Wuhan</w:t>
      </w:r>
      <w:r w:rsidR="00F56199" w:rsidRPr="00A66AE6">
        <w:rPr>
          <w:b/>
          <w:bCs/>
        </w:rPr>
        <w:t xml:space="preserve">, </w:t>
      </w:r>
      <w:r>
        <w:rPr>
          <w:b/>
          <w:bCs/>
        </w:rPr>
        <w:t>China</w:t>
      </w:r>
      <w:r w:rsidR="00F56199" w:rsidRPr="00A66AE6">
        <w:rPr>
          <w:b/>
          <w:bCs/>
        </w:rPr>
        <w:t xml:space="preserve">, </w:t>
      </w:r>
      <w:r>
        <w:rPr>
          <w:b/>
          <w:bCs/>
        </w:rPr>
        <w:t>April</w:t>
      </w:r>
      <w:r w:rsidR="00F56199" w:rsidRPr="00A66AE6">
        <w:rPr>
          <w:b/>
          <w:bCs/>
        </w:rPr>
        <w:t xml:space="preserve"> </w:t>
      </w:r>
      <w:r w:rsidR="00F810A9">
        <w:rPr>
          <w:b/>
          <w:bCs/>
        </w:rPr>
        <w:t>7</w:t>
      </w:r>
      <w:r w:rsidR="00E0671F" w:rsidRPr="00E0671F">
        <w:rPr>
          <w:b/>
          <w:bCs/>
          <w:vertAlign w:val="superscript"/>
        </w:rPr>
        <w:t>th</w:t>
      </w:r>
      <w:r w:rsidR="00E0671F">
        <w:rPr>
          <w:b/>
          <w:bCs/>
        </w:rPr>
        <w:t xml:space="preserve"> </w:t>
      </w:r>
      <w:r w:rsidR="00F56199" w:rsidRPr="00A66AE6">
        <w:rPr>
          <w:b/>
          <w:bCs/>
        </w:rPr>
        <w:t>–</w:t>
      </w:r>
      <w:r w:rsidR="00C9090D">
        <w:rPr>
          <w:b/>
          <w:bCs/>
        </w:rPr>
        <w:t xml:space="preserve"> </w:t>
      </w:r>
      <w:r w:rsidR="00F810A9">
        <w:rPr>
          <w:b/>
          <w:bCs/>
        </w:rPr>
        <w:t>11</w:t>
      </w:r>
      <w:r w:rsidR="00F810A9" w:rsidRPr="00F810A9">
        <w:rPr>
          <w:b/>
          <w:bCs/>
          <w:vertAlign w:val="superscript"/>
        </w:rPr>
        <w:t>th</w:t>
      </w:r>
      <w:r w:rsidR="00CD103E">
        <w:rPr>
          <w:b/>
          <w:bCs/>
        </w:rPr>
        <w:t>,</w:t>
      </w:r>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426BC3BB" w:rsidR="00841851" w:rsidRPr="00841851" w:rsidRDefault="00841851" w:rsidP="00E25422">
      <w:pPr>
        <w:rPr>
          <w:lang w:eastAsia="ja-JP"/>
        </w:rPr>
      </w:pPr>
      <w:r w:rsidRPr="00AC6352">
        <w:rPr>
          <w:b/>
        </w:rPr>
        <w:t>Agenda item:</w:t>
      </w:r>
      <w:r w:rsidRPr="00841851">
        <w:tab/>
      </w:r>
      <w:r w:rsidR="00BD7C71">
        <w:tab/>
      </w:r>
      <w:r>
        <w:t>9.1.</w:t>
      </w:r>
      <w:r w:rsidR="007C61B2">
        <w:t>4</w:t>
      </w:r>
      <w:r>
        <w:t>.</w:t>
      </w:r>
      <w:r w:rsidR="007C61B2">
        <w:t>1</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6EFCD6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t xml:space="preserve">Additional study </w:t>
      </w:r>
      <w:r w:rsidR="00624F13">
        <w:t>on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260C9721" w14:textId="250C2EB7" w:rsidR="006E1C10" w:rsidRDefault="009831B6" w:rsidP="006E1C10">
      <w:pPr>
        <w:pStyle w:val="3GPPText"/>
      </w:pPr>
      <w:r>
        <w:t>After four meetings continue study of two-sided AI/ML CSI feedback, i</w:t>
      </w:r>
      <w:r w:rsidR="0096186C">
        <w:t>n RAN</w:t>
      </w:r>
      <w:r w:rsidR="00EE431A">
        <w:t xml:space="preserve"> plenary #105,</w:t>
      </w:r>
      <w:r>
        <w:t xml:space="preserve"> it was agreed to further </w:t>
      </w:r>
      <w:r w:rsidR="00FA6D78">
        <w:t xml:space="preserve">study </w:t>
      </w:r>
      <w:r w:rsidR="0018705C">
        <w:t xml:space="preserve">this use case for the rest of Release 19. The objective is </w:t>
      </w:r>
      <w:r w:rsidR="00764939">
        <w:t>updated as follows</w:t>
      </w:r>
      <w:r w:rsidR="001861EC">
        <w:t xml:space="preserve"> </w:t>
      </w:r>
      <w:r w:rsidR="00E52C44">
        <w:fldChar w:fldCharType="begin"/>
      </w:r>
      <w:r w:rsidR="00E52C44">
        <w:instrText xml:space="preserve"> REF _Ref158971936 \r \h </w:instrText>
      </w:r>
      <w:r w:rsidR="00E52C44">
        <w:fldChar w:fldCharType="separate"/>
      </w:r>
      <w:r w:rsidR="00631423">
        <w:t>[2]</w:t>
      </w:r>
      <w:r w:rsidR="00E52C44">
        <w:fldChar w:fldCharType="end"/>
      </w:r>
      <w:r w:rsidR="006E1C10">
        <w:t>:</w:t>
      </w:r>
    </w:p>
    <w:tbl>
      <w:tblPr>
        <w:tblStyle w:val="TableGrid"/>
        <w:tblW w:w="0" w:type="auto"/>
        <w:tblLook w:val="04A0" w:firstRow="1" w:lastRow="0" w:firstColumn="1" w:lastColumn="0" w:noHBand="0" w:noVBand="1"/>
      </w:tblPr>
      <w:tblGrid>
        <w:gridCol w:w="9350"/>
      </w:tblGrid>
      <w:tr w:rsidR="006E1C10" w14:paraId="686F70FE" w14:textId="77777777">
        <w:tc>
          <w:tcPr>
            <w:tcW w:w="9350" w:type="dxa"/>
          </w:tcPr>
          <w:p w14:paraId="6E49A7DB" w14:textId="17F9DD5B" w:rsidR="007D5781" w:rsidRDefault="007D5781" w:rsidP="007D5781">
            <w:pPr>
              <w:spacing w:after="0"/>
              <w:rPr>
                <w:bCs/>
              </w:rPr>
            </w:pPr>
            <w:r>
              <w:rPr>
                <w:bCs/>
              </w:rPr>
              <w:t>Study objectives:</w:t>
            </w:r>
          </w:p>
          <w:p w14:paraId="1AB97BDD" w14:textId="77777777" w:rsidR="007D5781" w:rsidRDefault="007D5781" w:rsidP="004A2378">
            <w:pPr>
              <w:numPr>
                <w:ilvl w:val="0"/>
                <w:numId w:val="3"/>
              </w:numPr>
              <w:overflowPunct w:val="0"/>
              <w:autoSpaceDE w:val="0"/>
              <w:autoSpaceDN w:val="0"/>
              <w:adjustRightInd w:val="0"/>
              <w:spacing w:after="0"/>
              <w:jc w:val="left"/>
              <w:textAlignment w:val="baseline"/>
              <w:rPr>
                <w:bCs/>
              </w:rPr>
            </w:pPr>
            <w:r>
              <w:rPr>
                <w:bCs/>
              </w:rPr>
              <w:t xml:space="preserve">CSI feedback enhancement [RAN1]: </w:t>
            </w:r>
          </w:p>
          <w:p w14:paraId="58D19823" w14:textId="77777777" w:rsidR="007D5781" w:rsidRDefault="007D5781" w:rsidP="004A2378">
            <w:pPr>
              <w:numPr>
                <w:ilvl w:val="1"/>
                <w:numId w:val="3"/>
              </w:numPr>
              <w:overflowPunct w:val="0"/>
              <w:autoSpaceDE w:val="0"/>
              <w:autoSpaceDN w:val="0"/>
              <w:adjustRightInd w:val="0"/>
              <w:spacing w:after="0"/>
              <w:jc w:val="left"/>
              <w:textAlignment w:val="baseline"/>
              <w:rPr>
                <w:bCs/>
              </w:rPr>
            </w:pPr>
            <w:r>
              <w:rPr>
                <w:bCs/>
              </w:rPr>
              <w:t>For CSI compression (two-sided model), further study ways to:</w:t>
            </w:r>
          </w:p>
          <w:p w14:paraId="7BC66229" w14:textId="77777777" w:rsidR="007D5781" w:rsidRDefault="007D5781" w:rsidP="004A2378">
            <w:pPr>
              <w:numPr>
                <w:ilvl w:val="2"/>
                <w:numId w:val="3"/>
              </w:numPr>
              <w:overflowPunct w:val="0"/>
              <w:autoSpaceDE w:val="0"/>
              <w:autoSpaceDN w:val="0"/>
              <w:adjustRightInd w:val="0"/>
              <w:spacing w:after="0"/>
              <w:jc w:val="left"/>
              <w:textAlignment w:val="baseline"/>
              <w:rPr>
                <w:bCs/>
              </w:rPr>
            </w:pPr>
            <w:r>
              <w:rPr>
                <w:bCs/>
              </w:rPr>
              <w:t>Improve t</w:t>
            </w:r>
            <w:r w:rsidRPr="00000D9E">
              <w:rPr>
                <w:bCs/>
              </w:rPr>
              <w:t>rade-off between performance and complexity/overhead</w:t>
            </w:r>
          </w:p>
          <w:p w14:paraId="04B0AADF" w14:textId="77777777" w:rsidR="007D5781" w:rsidRPr="00000D9E" w:rsidRDefault="007D5781" w:rsidP="004A2378">
            <w:pPr>
              <w:numPr>
                <w:ilvl w:val="3"/>
                <w:numId w:val="3"/>
              </w:numPr>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897D6C0" w14:textId="77777777" w:rsidR="007D5781" w:rsidRDefault="007D5781" w:rsidP="004A2378">
            <w:pPr>
              <w:numPr>
                <w:ilvl w:val="2"/>
                <w:numId w:val="3"/>
              </w:numPr>
              <w:overflowPunct w:val="0"/>
              <w:autoSpaceDE w:val="0"/>
              <w:autoSpaceDN w:val="0"/>
              <w:adjustRightInd w:val="0"/>
              <w:spacing w:after="0"/>
              <w:jc w:val="left"/>
              <w:textAlignment w:val="baseline"/>
              <w:rPr>
                <w:bCs/>
              </w:rPr>
            </w:pPr>
            <w:r>
              <w:rPr>
                <w:bCs/>
              </w:rPr>
              <w:t>Alleviate/resolve i</w:t>
            </w:r>
            <w:r w:rsidRPr="00000D9E">
              <w:rPr>
                <w:bCs/>
              </w:rPr>
              <w:t>ssues related to inter-vendor training collaboration.</w:t>
            </w:r>
          </w:p>
          <w:p w14:paraId="44163DE5" w14:textId="77777777" w:rsidR="007D5781" w:rsidRPr="00000D9E" w:rsidRDefault="007D5781" w:rsidP="007D5781">
            <w:pPr>
              <w:spacing w:after="0"/>
              <w:ind w:left="1440"/>
              <w:rPr>
                <w:bCs/>
              </w:rPr>
            </w:pPr>
            <w:r>
              <w:rPr>
                <w:bCs/>
              </w:rPr>
              <w:t xml:space="preserve">while addressing necessary specification impact analysis, as well as, other aspects requiring further study/conclusion as captured in the conclusions section of the TR 38.843. </w:t>
            </w:r>
          </w:p>
          <w:p w14:paraId="07F1F5CD" w14:textId="77777777" w:rsidR="006E1C10" w:rsidRPr="00E87A93" w:rsidRDefault="006E1C10">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3A94560A" w14:textId="09F49430" w:rsidR="00AB5716" w:rsidRDefault="006E1C10" w:rsidP="007F0CAC">
      <w:pPr>
        <w:pStyle w:val="3GPPText"/>
      </w:pPr>
      <w:r w:rsidRPr="00362753">
        <w:t>In this contribution, we discuss</w:t>
      </w:r>
      <w:r>
        <w:t xml:space="preserve"> aspects related to the use case of CSI compression using two-sided model</w:t>
      </w:r>
      <w:r w:rsidRPr="00362753">
        <w:t>.</w:t>
      </w:r>
      <w:r>
        <w:t xml:space="preserve"> </w:t>
      </w:r>
      <w:r w:rsidR="00F40D5B">
        <w:t>The most important study item is</w:t>
      </w:r>
      <w:r w:rsidR="007D1609">
        <w:t xml:space="preserve"> to address</w:t>
      </w:r>
      <w:r w:rsidR="00F40D5B">
        <w:t xml:space="preserve"> </w:t>
      </w:r>
      <w:r w:rsidR="00683C6B">
        <w:t xml:space="preserve">inter-vendor collaborations </w:t>
      </w:r>
      <w:r w:rsidR="007D1609">
        <w:t>complexities, we</w:t>
      </w:r>
      <w:r w:rsidR="008B1C52">
        <w:t xml:space="preserve"> will focus on Direction A and C and</w:t>
      </w:r>
      <w:r w:rsidR="007D1609">
        <w:t xml:space="preserve"> </w:t>
      </w:r>
      <w:r w:rsidR="00176455">
        <w:t>discuss</w:t>
      </w:r>
      <w:r w:rsidR="007D1609">
        <w:t xml:space="preserve"> the remaining </w:t>
      </w:r>
      <w:r w:rsidR="000124A4">
        <w:t>issues and</w:t>
      </w:r>
      <w:r w:rsidR="00D42A83">
        <w:t xml:space="preserve"> recommend feasible solutions for normative work</w:t>
      </w:r>
      <w:r w:rsidR="00F21458">
        <w:t xml:space="preserve">. </w:t>
      </w:r>
    </w:p>
    <w:p w14:paraId="0D613D9D" w14:textId="586A6DA3" w:rsidR="00AB5716" w:rsidRDefault="00704FEF" w:rsidP="007F0CAC">
      <w:pPr>
        <w:pStyle w:val="3GPPText"/>
      </w:pPr>
      <w:r>
        <w:t xml:space="preserve">Model structure standardization feasibility and scalability is </w:t>
      </w:r>
      <w:r w:rsidR="00BB4E47">
        <w:t>one key</w:t>
      </w:r>
      <w:r>
        <w:t xml:space="preserve"> </w:t>
      </w:r>
      <w:r w:rsidR="001B2465">
        <w:t>remaining issue</w:t>
      </w:r>
      <w:r w:rsidR="00E40489">
        <w:t xml:space="preserve"> in Rel-19, </w:t>
      </w:r>
      <w:r w:rsidR="006B6D20">
        <w:t xml:space="preserve">the discussion outcome will prove the feasibility of sub-options of Direction A, and can be leveraged by </w:t>
      </w:r>
      <w:r w:rsidR="00AC0184">
        <w:t>Direction C.</w:t>
      </w:r>
      <w:r w:rsidR="00E03032">
        <w:t xml:space="preserve"> </w:t>
      </w:r>
    </w:p>
    <w:p w14:paraId="3250346F" w14:textId="78AC7794" w:rsidR="00B217C5" w:rsidRDefault="00B217C5" w:rsidP="007F0CAC">
      <w:pPr>
        <w:pStyle w:val="3GPPText"/>
      </w:pPr>
      <w:r>
        <w:t xml:space="preserve">Performance complexity trade-off is another important </w:t>
      </w:r>
      <w:r w:rsidR="00795C06">
        <w:t xml:space="preserve">objective of the study. </w:t>
      </w:r>
      <w:r w:rsidR="003E5FE7">
        <w:t xml:space="preserve">Till RAN1 #120, </w:t>
      </w:r>
      <w:r w:rsidR="007244A3">
        <w:t xml:space="preserve">the study is lack of evaluation results and observations. </w:t>
      </w:r>
      <w:r w:rsidR="00FE084E">
        <w:t xml:space="preserve">In this contribution, we provide results </w:t>
      </w:r>
      <w:r w:rsidR="009321E8">
        <w:t xml:space="preserve">on </w:t>
      </w:r>
      <w:r w:rsidR="00086CBB">
        <w:t xml:space="preserve">the performance loss with various level of model </w:t>
      </w:r>
      <w:r w:rsidR="00497198">
        <w:t>complexity.</w:t>
      </w:r>
    </w:p>
    <w:p w14:paraId="06CF81C9" w14:textId="66873DFE" w:rsidR="006E1C10" w:rsidRPr="006E1C10" w:rsidRDefault="00833EEA" w:rsidP="007F0CAC">
      <w:pPr>
        <w:pStyle w:val="3GPPText"/>
      </w:pPr>
      <w:r>
        <w:t xml:space="preserve">Besides, other aspects, such as </w:t>
      </w:r>
      <w:r w:rsidR="00F64391">
        <w:t xml:space="preserve">performance </w:t>
      </w:r>
      <w:r w:rsidR="00AB5716">
        <w:t xml:space="preserve">monitoring, </w:t>
      </w:r>
      <w:r w:rsidR="00ED7D25">
        <w:t>quantization and CQI</w:t>
      </w:r>
      <w:r w:rsidR="00F64391">
        <w:t xml:space="preserve"> are also discussed in this contribution.</w:t>
      </w:r>
      <w:r w:rsidR="0034674E">
        <w:t xml:space="preserve"> </w:t>
      </w:r>
    </w:p>
    <w:p w14:paraId="3A9BC47B" w14:textId="7C32F8CC" w:rsidR="00822EF1" w:rsidRPr="006E1C10" w:rsidRDefault="00822EF1" w:rsidP="007F0CAC">
      <w:pPr>
        <w:pStyle w:val="3GPPText"/>
      </w:pPr>
      <w:r>
        <w:t xml:space="preserve">Additionally, </w:t>
      </w:r>
      <w:r w:rsidR="00C02EE6">
        <w:t xml:space="preserve">aspects related to the </w:t>
      </w:r>
      <w:r w:rsidR="001A164C">
        <w:t xml:space="preserve">AI/ML processing capability </w:t>
      </w:r>
      <w:r w:rsidR="0094717F">
        <w:t>for AI/M</w:t>
      </w:r>
      <w:r w:rsidR="000D5B5E">
        <w:t>L</w:t>
      </w:r>
      <w:r w:rsidR="0094717F">
        <w:t xml:space="preserve">-enabled CSI processing </w:t>
      </w:r>
      <w:r w:rsidR="00527390">
        <w:t>use cases</w:t>
      </w:r>
      <w:r w:rsidR="000D5B5E">
        <w:t xml:space="preserve"> are included</w:t>
      </w:r>
      <w:r w:rsidR="001F6806">
        <w:t xml:space="preserve"> later in the document.</w:t>
      </w:r>
    </w:p>
    <w:p w14:paraId="1E065845" w14:textId="04F0EA16" w:rsidR="003F2335" w:rsidRDefault="00203B38" w:rsidP="00D70B54">
      <w:pPr>
        <w:pStyle w:val="Heading1"/>
      </w:pPr>
      <w:r>
        <w:lastRenderedPageBreak/>
        <w:t>Inter-vendor collaboration</w:t>
      </w:r>
    </w:p>
    <w:p w14:paraId="195058A2" w14:textId="2B0610E3" w:rsidR="00C158D5" w:rsidRDefault="00FA43FA" w:rsidP="00203B38">
      <w:r>
        <w:t xml:space="preserve">In this section, we evaluate the status of </w:t>
      </w:r>
      <w:r w:rsidR="00AC1394">
        <w:t>inter-vendor collaboration complexity alleviation and propose recommendation to normative work</w:t>
      </w:r>
      <w:r w:rsidR="00194E79">
        <w:t>.</w:t>
      </w:r>
    </w:p>
    <w:tbl>
      <w:tblPr>
        <w:tblStyle w:val="TableGrid"/>
        <w:tblW w:w="0" w:type="auto"/>
        <w:tblLook w:val="04A0" w:firstRow="1" w:lastRow="0" w:firstColumn="1" w:lastColumn="0" w:noHBand="0" w:noVBand="1"/>
      </w:tblPr>
      <w:tblGrid>
        <w:gridCol w:w="9350"/>
      </w:tblGrid>
      <w:tr w:rsidR="00C37490" w14:paraId="6124B8B1" w14:textId="77777777" w:rsidTr="00C37490">
        <w:tc>
          <w:tcPr>
            <w:tcW w:w="9350" w:type="dxa"/>
          </w:tcPr>
          <w:p w14:paraId="546A01BD" w14:textId="7E9093A0" w:rsidR="00114599" w:rsidRDefault="00114599" w:rsidP="00114599">
            <w:pPr>
              <w:rPr>
                <w:rFonts w:eastAsia="DengXian"/>
                <w:lang w:eastAsia="zh-CN"/>
              </w:rPr>
            </w:pPr>
            <w:r w:rsidRPr="00114599">
              <w:rPr>
                <w:rFonts w:eastAsia="DengXian" w:hint="eastAsia"/>
                <w:highlight w:val="yellow"/>
                <w:lang w:eastAsia="zh-CN"/>
              </w:rPr>
              <w:t>Conclusion</w:t>
            </w:r>
            <w:r w:rsidRPr="00114599">
              <w:rPr>
                <w:rFonts w:eastAsia="DengXian"/>
                <w:highlight w:val="yellow"/>
                <w:lang w:eastAsia="zh-CN"/>
              </w:rPr>
              <w:t xml:space="preserve"> (RAN1 #120)</w:t>
            </w:r>
          </w:p>
          <w:p w14:paraId="01D1956B" w14:textId="77777777" w:rsidR="00114599" w:rsidRDefault="00114599" w:rsidP="00114599">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13F02DDC" w14:textId="33FFE80A" w:rsidR="009550C6" w:rsidRDefault="009550C6" w:rsidP="009550C6">
            <w:pPr>
              <w:rPr>
                <w:rFonts w:eastAsia="DengXian"/>
                <w:lang w:eastAsia="zh-CN"/>
              </w:rPr>
            </w:pPr>
            <w:r w:rsidRPr="009550C6">
              <w:rPr>
                <w:rFonts w:eastAsia="DengXian" w:hint="eastAsia"/>
                <w:highlight w:val="yellow"/>
                <w:lang w:eastAsia="zh-CN"/>
              </w:rPr>
              <w:t>Conclusion</w:t>
            </w:r>
            <w:r w:rsidRPr="009550C6">
              <w:rPr>
                <w:rFonts w:eastAsia="DengXian"/>
                <w:highlight w:val="yellow"/>
                <w:lang w:eastAsia="zh-CN"/>
              </w:rPr>
              <w:t xml:space="preserve"> (RAN1 #120)</w:t>
            </w:r>
          </w:p>
          <w:p w14:paraId="001C047A" w14:textId="77777777" w:rsidR="009550C6" w:rsidRDefault="009550C6" w:rsidP="004A2378">
            <w:pPr>
              <w:pStyle w:val="ListParagraph"/>
              <w:numPr>
                <w:ilvl w:val="0"/>
                <w:numId w:val="21"/>
              </w:numPr>
              <w:tabs>
                <w:tab w:val="num" w:pos="720"/>
              </w:tabs>
              <w:suppressAutoHyphens/>
              <w:rPr>
                <w:rFonts w:eastAsia="SimSun"/>
              </w:rPr>
            </w:pPr>
            <w:r>
              <w:rPr>
                <w:rFonts w:eastAsia="SimSun"/>
              </w:rPr>
              <w:t xml:space="preserve">Direction C with standardized model ensures a minimum performance requirement. </w:t>
            </w:r>
          </w:p>
          <w:p w14:paraId="4DE46E99" w14:textId="77777777" w:rsidR="009550C6" w:rsidRPr="00A436D1" w:rsidRDefault="009550C6" w:rsidP="004A2378">
            <w:pPr>
              <w:pStyle w:val="ListParagraph"/>
              <w:numPr>
                <w:ilvl w:val="1"/>
                <w:numId w:val="21"/>
              </w:numPr>
              <w:tabs>
                <w:tab w:val="num" w:pos="1440"/>
              </w:tabs>
              <w:suppressAutoHyphens/>
              <w:rPr>
                <w:rFonts w:eastAsia="SimSun"/>
              </w:rPr>
            </w:pPr>
            <w:r w:rsidRPr="00A436D1">
              <w:rPr>
                <w:rFonts w:eastAsia="SimSun"/>
                <w:color w:val="FF0000"/>
              </w:rPr>
              <w:t xml:space="preserve">The </w:t>
            </w:r>
            <w:r>
              <w:rPr>
                <w:rFonts w:eastAsia="SimSun" w:hint="eastAsia"/>
                <w:color w:val="FF0000"/>
                <w:lang w:eastAsia="zh-CN"/>
              </w:rPr>
              <w:t xml:space="preserve">so called </w:t>
            </w:r>
            <w:r w:rsidRPr="00A436D1">
              <w:rPr>
                <w:rFonts w:eastAsia="SimSun"/>
                <w:color w:val="FF0000"/>
              </w:rPr>
              <w:t xml:space="preserve">fully specified reference model </w:t>
            </w:r>
            <w:r>
              <w:rPr>
                <w:rFonts w:eastAsia="SimSun" w:hint="eastAsia"/>
                <w:color w:val="FF0000"/>
                <w:lang w:eastAsia="zh-CN"/>
              </w:rPr>
              <w:t xml:space="preserve">discussed in RAN1 </w:t>
            </w:r>
            <w:r w:rsidRPr="00A436D1">
              <w:rPr>
                <w:rFonts w:eastAsia="SimSun"/>
                <w:color w:val="FF0000"/>
              </w:rPr>
              <w:t>for Direction C is</w:t>
            </w:r>
            <w:r>
              <w:rPr>
                <w:rFonts w:eastAsia="SimSun" w:hint="eastAsia"/>
                <w:color w:val="FF0000"/>
                <w:lang w:eastAsia="zh-CN"/>
              </w:rPr>
              <w:t xml:space="preserve"> assumed to be</w:t>
            </w:r>
            <w:r w:rsidRPr="00A436D1">
              <w:rPr>
                <w:rFonts w:eastAsia="SimSun"/>
                <w:color w:val="FF0000"/>
              </w:rPr>
              <w:t xml:space="preserve"> </w:t>
            </w:r>
            <w:r w:rsidRPr="00A436D1">
              <w:rPr>
                <w:rFonts w:eastAsia="SimSun" w:hint="eastAsia"/>
                <w:color w:val="FF0000"/>
                <w:lang w:eastAsia="zh-CN"/>
              </w:rPr>
              <w:t xml:space="preserve">equivalent to </w:t>
            </w:r>
            <w:r w:rsidRPr="00A436D1">
              <w:rPr>
                <w:rFonts w:eastAsia="SimSun"/>
                <w:color w:val="FF0000"/>
              </w:rPr>
              <w:t xml:space="preserve">the </w:t>
            </w:r>
            <w:r>
              <w:rPr>
                <w:rFonts w:eastAsia="SimSun" w:hint="eastAsia"/>
                <w:color w:val="FF0000"/>
                <w:lang w:eastAsia="zh-CN"/>
              </w:rPr>
              <w:t>to-be-</w:t>
            </w:r>
            <w:r w:rsidRPr="00A436D1">
              <w:rPr>
                <w:rFonts w:eastAsia="SimSun"/>
                <w:color w:val="FF0000"/>
              </w:rPr>
              <w:t>specified model</w:t>
            </w:r>
            <w:r>
              <w:rPr>
                <w:rFonts w:eastAsia="SimSun" w:hint="eastAsia"/>
                <w:color w:val="FF0000"/>
                <w:lang w:eastAsia="zh-CN"/>
              </w:rPr>
              <w:t>, if specified,</w:t>
            </w:r>
            <w:r w:rsidRPr="00A436D1">
              <w:rPr>
                <w:rFonts w:eastAsia="SimSun"/>
                <w:color w:val="FF0000"/>
              </w:rPr>
              <w:t xml:space="preserve"> </w:t>
            </w:r>
            <w:r>
              <w:rPr>
                <w:rFonts w:eastAsia="SimSun" w:hint="eastAsia"/>
                <w:color w:val="FF0000"/>
                <w:lang w:eastAsia="zh-CN"/>
              </w:rPr>
              <w:t xml:space="preserve">for </w:t>
            </w:r>
            <w:r w:rsidRPr="00A436D1">
              <w:rPr>
                <w:rFonts w:eastAsia="SimSun"/>
                <w:color w:val="FF0000"/>
              </w:rPr>
              <w:t xml:space="preserve">performance </w:t>
            </w:r>
            <w:r>
              <w:rPr>
                <w:rFonts w:eastAsia="SimSun" w:hint="eastAsia"/>
                <w:color w:val="FF0000"/>
                <w:lang w:eastAsia="zh-CN"/>
              </w:rPr>
              <w:t>requirements in</w:t>
            </w:r>
            <w:r w:rsidRPr="00A436D1">
              <w:rPr>
                <w:rFonts w:eastAsia="SimSun"/>
                <w:color w:val="FF0000"/>
              </w:rPr>
              <w:t xml:space="preserve"> RAN4.</w:t>
            </w:r>
          </w:p>
          <w:p w14:paraId="4F73B8DA" w14:textId="77777777" w:rsidR="009550C6" w:rsidRDefault="009550C6" w:rsidP="004A2378">
            <w:pPr>
              <w:pStyle w:val="ListParagraph"/>
              <w:numPr>
                <w:ilvl w:val="0"/>
                <w:numId w:val="21"/>
              </w:numPr>
              <w:tabs>
                <w:tab w:val="num" w:pos="720"/>
              </w:tabs>
              <w:suppressAutoHyphen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p w14:paraId="018F030F" w14:textId="4CCE2305" w:rsidR="00F6171A" w:rsidRPr="006A6A0C" w:rsidRDefault="00F6171A" w:rsidP="00F6171A">
            <w:pPr>
              <w:rPr>
                <w:rFonts w:eastAsia="DengXian"/>
                <w:highlight w:val="green"/>
                <w:lang w:eastAsia="zh-CN"/>
              </w:rPr>
            </w:pPr>
            <w:r w:rsidRPr="006A6A0C">
              <w:rPr>
                <w:rFonts w:eastAsia="DengXian" w:hint="eastAsia"/>
                <w:highlight w:val="green"/>
                <w:lang w:eastAsia="zh-CN"/>
              </w:rPr>
              <w:t>Agreement</w:t>
            </w:r>
            <w:r>
              <w:rPr>
                <w:rFonts w:eastAsia="DengXian"/>
                <w:highlight w:val="green"/>
                <w:lang w:eastAsia="zh-CN"/>
              </w:rPr>
              <w:t xml:space="preserve"> (RAN1 #120)</w:t>
            </w:r>
          </w:p>
          <w:p w14:paraId="667510F7" w14:textId="77777777" w:rsidR="00F6171A" w:rsidRDefault="00F6171A" w:rsidP="00F6171A">
            <w:pPr>
              <w:rPr>
                <w:rFonts w:eastAsia="DengXian"/>
                <w:lang w:eastAsia="zh-CN"/>
              </w:rPr>
            </w:pPr>
            <w:r w:rsidRPr="009C1821">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418CE9D" w14:textId="77777777" w:rsidR="00F6171A" w:rsidRPr="009C1821" w:rsidRDefault="00F6171A" w:rsidP="004A2378">
            <w:pPr>
              <w:pStyle w:val="ListParagraph"/>
              <w:numPr>
                <w:ilvl w:val="0"/>
                <w:numId w:val="22"/>
              </w:numPr>
              <w:suppressAutoHyphens/>
            </w:pPr>
            <w:r w:rsidRPr="009C1821">
              <w:rPr>
                <w:rFonts w:eastAsia="SimSun"/>
                <w:lang w:val="en-US" w:eastAsia="zh-CN"/>
              </w:rPr>
              <w:t xml:space="preserve">The same ID can be used for UE to collect </w:t>
            </w:r>
            <w:r w:rsidRPr="009C1821">
              <w:rPr>
                <w:rFonts w:eastAsia="SimSun" w:hint="eastAsia"/>
                <w:lang w:val="en-US" w:eastAsia="zh-CN"/>
              </w:rPr>
              <w:t xml:space="preserve">UE-side target CSI </w:t>
            </w:r>
            <w:r w:rsidRPr="009C1821">
              <w:rPr>
                <w:rFonts w:eastAsia="SimSun"/>
                <w:lang w:val="en-US" w:eastAsia="zh-CN"/>
              </w:rPr>
              <w:t>for UE-side training</w:t>
            </w:r>
            <w:r w:rsidRPr="009C1821">
              <w:rPr>
                <w:rFonts w:eastAsia="SimSun" w:hint="eastAsia"/>
                <w:lang w:val="en-US" w:eastAsia="zh-CN"/>
              </w:rPr>
              <w:t xml:space="preserve"> </w:t>
            </w:r>
          </w:p>
          <w:p w14:paraId="36BB3E25" w14:textId="77777777" w:rsidR="00F6171A" w:rsidRPr="009C1821" w:rsidRDefault="00F6171A" w:rsidP="004A2378">
            <w:pPr>
              <w:pStyle w:val="ListParagraph"/>
              <w:numPr>
                <w:ilvl w:val="0"/>
                <w:numId w:val="22"/>
              </w:numPr>
              <w:suppressAutoHyphens/>
            </w:pPr>
            <w:r w:rsidRPr="009C1821">
              <w:t>The same ID can be used for applicability inquiry and reporting</w:t>
            </w:r>
          </w:p>
          <w:p w14:paraId="484BD481" w14:textId="77777777" w:rsidR="00F6171A" w:rsidRPr="009C1821" w:rsidRDefault="00F6171A" w:rsidP="004A2378">
            <w:pPr>
              <w:pStyle w:val="ListParagraph"/>
              <w:numPr>
                <w:ilvl w:val="0"/>
                <w:numId w:val="22"/>
              </w:numPr>
              <w:suppressAutoHyphens/>
            </w:pPr>
            <w:r w:rsidRPr="009C1821">
              <w:rPr>
                <w:rFonts w:eastAsia="SimSun"/>
                <w:lang w:val="en-US" w:eastAsia="zh-CN"/>
              </w:rPr>
              <w:t>The same ID can be used for inference configuration</w:t>
            </w:r>
          </w:p>
          <w:p w14:paraId="20242225" w14:textId="77777777" w:rsidR="00F6171A" w:rsidRPr="009C1821" w:rsidRDefault="00F6171A" w:rsidP="004A2378">
            <w:pPr>
              <w:pStyle w:val="ListParagraph"/>
              <w:numPr>
                <w:ilvl w:val="0"/>
                <w:numId w:val="22"/>
              </w:numPr>
              <w:suppressAutoHyphens/>
            </w:pPr>
            <w:r w:rsidRPr="009C1821">
              <w:rPr>
                <w:rFonts w:eastAsia="SimSun"/>
              </w:rPr>
              <w:t xml:space="preserve">FFS: </w:t>
            </w:r>
            <w:r w:rsidRPr="009C1821">
              <w:rPr>
                <w:rFonts w:eastAsia="SimSun" w:hint="eastAsia"/>
                <w:lang w:eastAsia="zh-CN"/>
              </w:rPr>
              <w:t xml:space="preserve">whether </w:t>
            </w:r>
            <w:r w:rsidRPr="009C1821">
              <w:rPr>
                <w:rFonts w:eastAsia="SimSun"/>
                <w:lang w:val="en-US" w:eastAsia="zh-CN"/>
              </w:rPr>
              <w:t>ID</w:t>
            </w:r>
            <w:r w:rsidRPr="009C1821">
              <w:rPr>
                <w:rFonts w:eastAsia="SimSun" w:hint="eastAsia"/>
                <w:lang w:val="en-US" w:eastAsia="zh-CN"/>
              </w:rPr>
              <w:t>/even same ID</w:t>
            </w:r>
            <w:r w:rsidRPr="009C1821">
              <w:rPr>
                <w:rFonts w:eastAsia="SimSun"/>
                <w:lang w:val="en-US" w:eastAsia="zh-CN"/>
              </w:rPr>
              <w:t xml:space="preserve"> </w:t>
            </w:r>
            <w:r w:rsidRPr="009C1821">
              <w:rPr>
                <w:rFonts w:eastAsia="SimSun" w:hint="eastAsia"/>
                <w:lang w:val="en-US" w:eastAsia="zh-CN"/>
              </w:rPr>
              <w:t>is needed</w:t>
            </w:r>
            <w:r w:rsidRPr="009C1821">
              <w:rPr>
                <w:rFonts w:eastAsia="SimSun"/>
                <w:lang w:val="en-US" w:eastAsia="zh-CN"/>
              </w:rPr>
              <w:t xml:space="preserve"> for monitoring configuration</w:t>
            </w:r>
          </w:p>
          <w:p w14:paraId="253EB1A5" w14:textId="77777777" w:rsidR="00F6171A" w:rsidRPr="009C1821" w:rsidRDefault="00F6171A" w:rsidP="004A2378">
            <w:pPr>
              <w:pStyle w:val="ListParagraph"/>
              <w:numPr>
                <w:ilvl w:val="0"/>
                <w:numId w:val="22"/>
              </w:numPr>
              <w:suppressAutoHyphens/>
            </w:pPr>
            <w:r w:rsidRPr="009C1821">
              <w:rPr>
                <w:rFonts w:eastAsia="SimSun" w:hint="eastAsia"/>
                <w:lang w:val="en-US" w:eastAsia="zh-CN"/>
              </w:rPr>
              <w:t>FFS: where the ID is assigned</w:t>
            </w:r>
          </w:p>
          <w:p w14:paraId="7131D65D" w14:textId="77777777" w:rsidR="00F6171A" w:rsidRPr="009C1821" w:rsidRDefault="00F6171A" w:rsidP="004A2378">
            <w:pPr>
              <w:pStyle w:val="ListParagraph"/>
              <w:numPr>
                <w:ilvl w:val="0"/>
                <w:numId w:val="22"/>
              </w:numPr>
              <w:suppressAutoHyphens/>
            </w:pPr>
            <w:r w:rsidRPr="009C1821">
              <w:rPr>
                <w:rFonts w:eastAsia="SimSun" w:hint="eastAsia"/>
                <w:lang w:val="en-US" w:eastAsia="zh-CN"/>
              </w:rPr>
              <w:t>Note: whether the purpose for pair will be specified will be discussed separately.</w:t>
            </w:r>
          </w:p>
          <w:p w14:paraId="1FF99C4F" w14:textId="75EF2C04" w:rsidR="00F6171A" w:rsidRPr="00D170A2" w:rsidRDefault="00F6171A" w:rsidP="00F6171A">
            <w:pPr>
              <w:rPr>
                <w:rFonts w:eastAsia="DengXian"/>
                <w:highlight w:val="green"/>
                <w:lang w:eastAsia="zh-CN"/>
              </w:rPr>
            </w:pPr>
            <w:r w:rsidRPr="00D170A2">
              <w:rPr>
                <w:rFonts w:eastAsia="DengXian" w:hint="eastAsia"/>
                <w:highlight w:val="green"/>
                <w:lang w:eastAsia="zh-CN"/>
              </w:rPr>
              <w:t>Agreement</w:t>
            </w:r>
            <w:r>
              <w:rPr>
                <w:rFonts w:eastAsia="DengXian"/>
                <w:highlight w:val="green"/>
                <w:lang w:eastAsia="zh-CN"/>
              </w:rPr>
              <w:t xml:space="preserve"> (RAN1 #120)</w:t>
            </w:r>
          </w:p>
          <w:p w14:paraId="45EE332E" w14:textId="77777777" w:rsidR="00F6171A" w:rsidRDefault="00F6171A" w:rsidP="00F6171A">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5E2E3331" w14:textId="77777777" w:rsidR="00F6171A" w:rsidRDefault="00F6171A" w:rsidP="004A2378">
            <w:pPr>
              <w:pStyle w:val="ListParagraph"/>
              <w:numPr>
                <w:ilvl w:val="0"/>
                <w:numId w:val="22"/>
              </w:numPr>
              <w:suppressAutoHyphens/>
            </w:pPr>
            <w:r>
              <w:t>FFS: type of performance metric</w:t>
            </w:r>
          </w:p>
          <w:p w14:paraId="2D6EC395" w14:textId="77777777" w:rsidR="00F6171A" w:rsidRDefault="00F6171A" w:rsidP="004A2378">
            <w:pPr>
              <w:pStyle w:val="ListParagraph"/>
              <w:numPr>
                <w:ilvl w:val="0"/>
                <w:numId w:val="22"/>
              </w:numPr>
              <w:suppressAutoHyphens/>
            </w:pPr>
            <w:r>
              <w:t xml:space="preserve">FFS: input data for </w:t>
            </w:r>
            <w:r w:rsidRPr="003E4436">
              <w:rPr>
                <w:color w:val="0070C0"/>
              </w:rPr>
              <w:t xml:space="preserve">evaluating </w:t>
            </w:r>
            <w:r>
              <w:t>the performance</w:t>
            </w:r>
          </w:p>
          <w:p w14:paraId="4C4E44DE" w14:textId="4149F297" w:rsidR="00267AB8" w:rsidRPr="0049672B" w:rsidRDefault="00267AB8" w:rsidP="00267AB8">
            <w:pPr>
              <w:rPr>
                <w:rFonts w:eastAsia="DengXian"/>
                <w:lang w:eastAsia="zh-CN"/>
              </w:rPr>
            </w:pPr>
            <w:r w:rsidRPr="00267AB8">
              <w:rPr>
                <w:rFonts w:eastAsia="DengXian" w:hint="eastAsia"/>
                <w:highlight w:val="yellow"/>
                <w:lang w:eastAsia="zh-CN"/>
              </w:rPr>
              <w:t>Conclusion</w:t>
            </w:r>
            <w:r w:rsidRPr="00267AB8">
              <w:rPr>
                <w:rFonts w:eastAsia="DengXian"/>
                <w:highlight w:val="yellow"/>
                <w:lang w:eastAsia="zh-CN"/>
              </w:rPr>
              <w:t xml:space="preserve"> (RAN1 #118bis)</w:t>
            </w:r>
          </w:p>
          <w:p w14:paraId="71B4C380" w14:textId="77777777" w:rsidR="00267AB8" w:rsidRPr="008C125D" w:rsidRDefault="00267AB8" w:rsidP="00267AB8">
            <w:r w:rsidRPr="008C125D">
              <w:t>For issues listed for inter-vendor collaboration Direction A, conclude the following</w:t>
            </w:r>
          </w:p>
          <w:p w14:paraId="3EBCF0F3" w14:textId="77777777" w:rsidR="00267AB8" w:rsidRPr="00EA3922" w:rsidRDefault="00267AB8" w:rsidP="004A2378">
            <w:pPr>
              <w:numPr>
                <w:ilvl w:val="0"/>
                <w:numId w:val="23"/>
              </w:numPr>
              <w:suppressAutoHyphens/>
              <w:contextualSpacing/>
            </w:pPr>
            <w:r>
              <w:rPr>
                <w:rFonts w:eastAsia="DengXian" w:hint="eastAsia"/>
                <w:lang w:eastAsia="zh-CN"/>
              </w:rPr>
              <w:t xml:space="preserve">Answer to </w:t>
            </w:r>
            <w:r w:rsidRPr="008C125D">
              <w:t xml:space="preserve">Issue 2: </w:t>
            </w:r>
            <w:r>
              <w:rPr>
                <w:rFonts w:eastAsia="DengXian" w:hint="eastAsia"/>
                <w:lang w:eastAsia="zh-CN"/>
              </w:rPr>
              <w:t xml:space="preserve">From RAN1 perspective, at least, </w:t>
            </w:r>
          </w:p>
          <w:p w14:paraId="71746008" w14:textId="77777777" w:rsidR="00267AB8" w:rsidRPr="00EA3922" w:rsidRDefault="00267AB8" w:rsidP="004A2378">
            <w:pPr>
              <w:numPr>
                <w:ilvl w:val="1"/>
                <w:numId w:val="23"/>
              </w:numPr>
              <w:suppressAutoHyphens/>
              <w:contextualSpacing/>
            </w:pPr>
            <w:r>
              <w:rPr>
                <w:rFonts w:eastAsia="DengXian"/>
                <w:lang w:eastAsia="zh-CN"/>
              </w:rPr>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1895173B" w14:textId="77777777" w:rsidR="00267AB8" w:rsidRPr="00D700D1" w:rsidRDefault="00267AB8" w:rsidP="004A2378">
            <w:pPr>
              <w:numPr>
                <w:ilvl w:val="1"/>
                <w:numId w:val="23"/>
              </w:numPr>
              <w:suppressAutoHyphens/>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2AA903E2" w14:textId="77777777" w:rsidR="00267AB8" w:rsidRPr="008C125D" w:rsidRDefault="00267AB8" w:rsidP="004A2378">
            <w:pPr>
              <w:numPr>
                <w:ilvl w:val="1"/>
                <w:numId w:val="23"/>
              </w:numPr>
              <w:suppressAutoHyphens/>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can not be precluded by default.</w:t>
            </w:r>
          </w:p>
          <w:p w14:paraId="077CFDE4" w14:textId="77777777" w:rsidR="00C37490" w:rsidRDefault="00C37490" w:rsidP="00C37490"/>
        </w:tc>
      </w:tr>
    </w:tbl>
    <w:p w14:paraId="271A497D" w14:textId="77777777" w:rsidR="00C37490" w:rsidRPr="00C37490" w:rsidRDefault="00C37490" w:rsidP="00C37490"/>
    <w:p w14:paraId="6FC6AC88" w14:textId="0A6D7E3D" w:rsidR="00194E79" w:rsidRDefault="00D8503D" w:rsidP="00C158D5">
      <w:r>
        <w:lastRenderedPageBreak/>
        <w:t xml:space="preserve">In the last meeting, good progress </w:t>
      </w:r>
      <w:r w:rsidR="009A6E62">
        <w:t>has</w:t>
      </w:r>
      <w:r>
        <w:t xml:space="preserve"> been made for inter-vendor direction A and C</w:t>
      </w:r>
      <w:r w:rsidR="00E30CDC">
        <w:t xml:space="preserve">. Regarding performance issues due to </w:t>
      </w:r>
      <w:r w:rsidR="00435609">
        <w:t xml:space="preserve">mismatch </w:t>
      </w:r>
      <w:r w:rsidR="00084BAD">
        <w:t>between</w:t>
      </w:r>
      <w:r w:rsidR="00435609">
        <w:t xml:space="preserve"> synthetic data</w:t>
      </w:r>
      <w:r w:rsidR="00084BAD">
        <w:t xml:space="preserve"> and field data</w:t>
      </w:r>
      <w:r w:rsidR="00E30CDC">
        <w:t>, observations</w:t>
      </w:r>
      <w:r w:rsidR="00435609">
        <w:t xml:space="preserve"> have been captured</w:t>
      </w:r>
      <w:r w:rsidR="009A6E62">
        <w:t xml:space="preserve"> and positive conclusion made. It is RAN1 consensus that Direction C can be used to achieve a minimum performance</w:t>
      </w:r>
      <w:r w:rsidR="00C768EA">
        <w:t xml:space="preserve"> requirement and </w:t>
      </w:r>
      <w:r w:rsidR="00711C3A">
        <w:t>Direction A can achieve a better performance with collaboration between the two sides. The model standardization work in</w:t>
      </w:r>
      <w:r w:rsidR="002624C5">
        <w:t xml:space="preserve"> Direction C is equivalent to RAN4 testing model. Regarding the performance</w:t>
      </w:r>
      <w:r w:rsidR="0013472F">
        <w:t xml:space="preserve"> issue due to mismatch between NW side data and UE side data, sufficient observations have been </w:t>
      </w:r>
      <w:r w:rsidR="00EF57E1">
        <w:t>captured,</w:t>
      </w:r>
      <w:r w:rsidR="0013472F">
        <w:t xml:space="preserve"> and </w:t>
      </w:r>
      <w:r w:rsidR="00EF57E1">
        <w:t>RAN1 reaches consensus</w:t>
      </w:r>
      <w:r w:rsidR="0013472F">
        <w:t xml:space="preserve"> that this issue can be addressed. Potential approach includes</w:t>
      </w:r>
      <w:r w:rsidR="00E74FC0">
        <w:t xml:space="preserve"> NW side </w:t>
      </w:r>
      <w:r w:rsidR="00161411">
        <w:t>timely data collection and proper UE side offline-engineering wh</w:t>
      </w:r>
      <w:r w:rsidR="007A5FD3">
        <w:t>ich uses NW side data to re-establish NW side decoder and UE side data to train the encoder</w:t>
      </w:r>
      <w:r w:rsidR="00161411">
        <w:t>.</w:t>
      </w:r>
      <w:r w:rsidR="007A5FD3">
        <w:t xml:space="preserve"> </w:t>
      </w:r>
    </w:p>
    <w:p w14:paraId="63ABE254" w14:textId="102A6D4E" w:rsidR="007A5FD3" w:rsidRDefault="007A5FD3" w:rsidP="00C158D5">
      <w:r>
        <w:t xml:space="preserve">Regarding the </w:t>
      </w:r>
      <w:r w:rsidR="009D0D4F">
        <w:t xml:space="preserve">additional information to be </w:t>
      </w:r>
      <w:r w:rsidR="006E0EA7">
        <w:t xml:space="preserve">exchanged </w:t>
      </w:r>
      <w:r w:rsidR="004104C5">
        <w:t xml:space="preserve">from NW side to UE side, RAN1 confirmed that performance target and </w:t>
      </w:r>
      <w:r w:rsidR="009C3975">
        <w:t>an ID to label the exchanged dataset / model parameter are needed. The former is used to ensure good offline</w:t>
      </w:r>
      <w:r w:rsidR="00EF57E1">
        <w:t xml:space="preserve"> </w:t>
      </w:r>
      <w:r w:rsidR="009C3975">
        <w:t xml:space="preserve">engineering is done at UE side. The latter </w:t>
      </w:r>
      <w:r w:rsidR="00B30640">
        <w:t xml:space="preserve">can be used for keeping the consistency between training and inference, </w:t>
      </w:r>
    </w:p>
    <w:p w14:paraId="4FADEE35" w14:textId="15615764" w:rsidR="00F50137" w:rsidRPr="00442F47" w:rsidRDefault="00BC2BF9" w:rsidP="00442F47">
      <w:pPr>
        <w:pStyle w:val="Observation"/>
        <w:rPr>
          <w:rFonts w:eastAsia="SimSun" w:cs="Times"/>
          <w:lang w:eastAsia="x-none"/>
        </w:rPr>
      </w:pPr>
      <w:bookmarkStart w:id="4" w:name="_Ref194071890"/>
      <w:r w:rsidRPr="00442F47">
        <w:rPr>
          <w:rFonts w:eastAsia="SimSun" w:cs="Times"/>
          <w:lang w:eastAsia="x-none"/>
        </w:rPr>
        <w:t>Important issues</w:t>
      </w:r>
      <w:r w:rsidR="00637B12" w:rsidRPr="00442F47">
        <w:rPr>
          <w:rFonts w:eastAsia="SimSun" w:cs="Times"/>
          <w:lang w:eastAsia="x-none"/>
        </w:rPr>
        <w:t xml:space="preserve"> (issue</w:t>
      </w:r>
      <w:r w:rsidR="0010739F" w:rsidRPr="00442F47">
        <w:rPr>
          <w:rFonts w:eastAsia="SimSun" w:cs="Times"/>
          <w:lang w:eastAsia="x-none"/>
        </w:rPr>
        <w:t xml:space="preserve"> 1, 2, 4 and 9</w:t>
      </w:r>
      <w:r w:rsidR="00637B12" w:rsidRPr="00442F47">
        <w:rPr>
          <w:rFonts w:eastAsia="SimSun" w:cs="Times"/>
          <w:lang w:eastAsia="x-none"/>
        </w:rPr>
        <w:t>)</w:t>
      </w:r>
      <w:r w:rsidRPr="00442F47">
        <w:rPr>
          <w:rFonts w:eastAsia="SimSun" w:cs="Times"/>
          <w:lang w:eastAsia="x-none"/>
        </w:rPr>
        <w:t xml:space="preserve"> listed in RAN1 #118</w:t>
      </w:r>
      <w:r w:rsidR="0086325A" w:rsidRPr="00442F47">
        <w:rPr>
          <w:rFonts w:eastAsia="SimSun" w:cs="Times"/>
          <w:lang w:eastAsia="x-none"/>
        </w:rPr>
        <w:t xml:space="preserve">, including </w:t>
      </w:r>
      <w:r w:rsidR="00A52115" w:rsidRPr="00442F47">
        <w:rPr>
          <w:rFonts w:eastAsia="SimSun" w:cs="Times"/>
          <w:lang w:eastAsia="x-none"/>
        </w:rPr>
        <w:t>performance issues due to data mismatch, proprietary concern and additional information</w:t>
      </w:r>
      <w:r w:rsidRPr="00442F47">
        <w:rPr>
          <w:rFonts w:eastAsia="SimSun" w:cs="Times"/>
          <w:lang w:eastAsia="x-none"/>
        </w:rPr>
        <w:t xml:space="preserve"> for Direction A and C have been answered </w:t>
      </w:r>
      <w:r w:rsidR="00637B12" w:rsidRPr="00442F47">
        <w:rPr>
          <w:rFonts w:eastAsia="SimSun" w:cs="Times"/>
          <w:lang w:eastAsia="x-none"/>
        </w:rPr>
        <w:t>positively.</w:t>
      </w:r>
      <w:bookmarkEnd w:id="4"/>
      <w:r w:rsidR="00637B12" w:rsidRPr="00442F47">
        <w:rPr>
          <w:rFonts w:eastAsia="SimSun" w:cs="Times"/>
          <w:lang w:eastAsia="x-none"/>
        </w:rPr>
        <w:t xml:space="preserve"> </w:t>
      </w:r>
    </w:p>
    <w:p w14:paraId="2299F2F4" w14:textId="5D171563" w:rsidR="00A52115" w:rsidRDefault="00A52115" w:rsidP="00C158D5">
      <w:pPr>
        <w:rPr>
          <w:lang w:val="en-US"/>
        </w:rPr>
      </w:pPr>
      <w:r>
        <w:t xml:space="preserve">The </w:t>
      </w:r>
      <w:r w:rsidR="00EC13C3">
        <w:t xml:space="preserve">feasibility of Direction </w:t>
      </w:r>
      <w:r w:rsidR="008C0AD2">
        <w:t xml:space="preserve">C and sub-option </w:t>
      </w:r>
      <w:r w:rsidR="006525CA">
        <w:t xml:space="preserve">3a-1 of Direction A are contingent on the model (structure) </w:t>
      </w:r>
      <w:r w:rsidR="00EE6038">
        <w:t xml:space="preserve">standardization </w:t>
      </w:r>
      <w:r w:rsidR="006525CA">
        <w:t>feasibility and s</w:t>
      </w:r>
      <w:r w:rsidR="00EE6038">
        <w:t>calability. Also, sub-options 3a-1 and 4-1 of Direction A are contingent on the signalling fea</w:t>
      </w:r>
      <w:r w:rsidR="00110321">
        <w:t xml:space="preserve">sibility for exchanging the dataset and model parameters. The former </w:t>
      </w:r>
      <w:r w:rsidR="00EF57E1">
        <w:t xml:space="preserve">sill be focus of remaining two RAN1 meetings, while the latter </w:t>
      </w:r>
      <w:r w:rsidR="00F652FA">
        <w:t xml:space="preserve">is </w:t>
      </w:r>
      <w:r w:rsidR="00612891">
        <w:t xml:space="preserve">to be handled by </w:t>
      </w:r>
      <w:r w:rsidR="00F652FA">
        <w:t>RAN2 and other working group</w:t>
      </w:r>
      <w:r w:rsidR="006F7F1F">
        <w:t>s</w:t>
      </w:r>
      <w:r w:rsidR="00F652FA">
        <w:t>.</w:t>
      </w:r>
      <w:r w:rsidR="00EB7834">
        <w:t xml:space="preserve"> In our view, </w:t>
      </w:r>
      <w:r w:rsidR="00834BE2">
        <w:t xml:space="preserve">from progress perspective, </w:t>
      </w:r>
      <w:r w:rsidR="00EB7834">
        <w:t>SA2/SA5 should be also actively involved in the discussion as they are more expertise in studying the feasibility of other approaches than using UE as relay (a.k.a., over-the-air approach).</w:t>
      </w:r>
      <w:r w:rsidR="00B40C25">
        <w:t xml:space="preserve"> Even though RAN2 and SA may no</w:t>
      </w:r>
      <w:r w:rsidR="006F7F1F">
        <w:t>t have a consensus by the end of the study item, i</w:t>
      </w:r>
      <w:r w:rsidR="00EB7834">
        <w:t>t is worth noting that l</w:t>
      </w:r>
      <w:r w:rsidR="00EB7834" w:rsidRPr="00FC12EB">
        <w:rPr>
          <w:lang w:val="en-US"/>
        </w:rPr>
        <w:t>ack of agreed solution in R19 should not be the gating factor blocking the normative work</w:t>
      </w:r>
      <w:r w:rsidR="00EB7834">
        <w:rPr>
          <w:lang w:val="en-US"/>
        </w:rPr>
        <w:t xml:space="preserve"> because p</w:t>
      </w:r>
      <w:r w:rsidR="00EB7834" w:rsidRPr="00144651">
        <w:rPr>
          <w:lang w:val="en-US"/>
        </w:rPr>
        <w:t>roprietary signaling can be assumed as default option in the absence of standardized signaling</w:t>
      </w:r>
      <w:r w:rsidR="00D62AA3">
        <w:rPr>
          <w:lang w:val="en-US"/>
        </w:rPr>
        <w:t>.</w:t>
      </w:r>
    </w:p>
    <w:p w14:paraId="31200760" w14:textId="3C9D36E1" w:rsidR="0040567E" w:rsidRPr="00613F9A" w:rsidRDefault="0040567E" w:rsidP="00613F9A">
      <w:pPr>
        <w:pStyle w:val="Observation"/>
        <w:rPr>
          <w:rFonts w:eastAsia="SimSun" w:cs="Times"/>
          <w:lang w:eastAsia="x-none"/>
        </w:rPr>
      </w:pPr>
      <w:bookmarkStart w:id="5" w:name="_Ref194071919"/>
      <w:r w:rsidRPr="00613F9A">
        <w:rPr>
          <w:rFonts w:eastAsia="SimSun" w:cs="Times"/>
          <w:lang w:eastAsia="x-none"/>
        </w:rPr>
        <w:t xml:space="preserve">Remaining issues of Direction A and C </w:t>
      </w:r>
      <w:r w:rsidR="008644F8" w:rsidRPr="00613F9A">
        <w:rPr>
          <w:rFonts w:eastAsia="SimSun" w:cs="Times"/>
          <w:lang w:eastAsia="x-none"/>
        </w:rPr>
        <w:t xml:space="preserve">are </w:t>
      </w:r>
      <w:r w:rsidR="00575574" w:rsidRPr="00613F9A">
        <w:rPr>
          <w:rFonts w:eastAsia="SimSun" w:cs="Times"/>
          <w:lang w:eastAsia="x-none"/>
        </w:rPr>
        <w:t xml:space="preserve">model (structure) standardization feasibility and </w:t>
      </w:r>
      <w:r w:rsidR="009118E5" w:rsidRPr="00613F9A">
        <w:rPr>
          <w:rFonts w:eastAsia="SimSun" w:cs="Times"/>
          <w:lang w:eastAsia="x-none"/>
        </w:rPr>
        <w:t>scalability and</w:t>
      </w:r>
      <w:r w:rsidR="00575574" w:rsidRPr="00613F9A">
        <w:rPr>
          <w:rFonts w:eastAsia="SimSun" w:cs="Times"/>
          <w:lang w:eastAsia="x-none"/>
        </w:rPr>
        <w:t xml:space="preserve"> signal</w:t>
      </w:r>
      <w:r w:rsidR="009118E5">
        <w:rPr>
          <w:rFonts w:eastAsia="SimSun" w:cs="Times"/>
          <w:lang w:eastAsia="x-none"/>
        </w:rPr>
        <w:t>l</w:t>
      </w:r>
      <w:r w:rsidR="00575574" w:rsidRPr="00613F9A">
        <w:rPr>
          <w:rFonts w:eastAsia="SimSun" w:cs="Times"/>
          <w:lang w:eastAsia="x-none"/>
        </w:rPr>
        <w:t>ing feasibility of exchanging dataset / parameters</w:t>
      </w:r>
      <w:r w:rsidR="00F75572" w:rsidRPr="00613F9A">
        <w:rPr>
          <w:rFonts w:eastAsia="SimSun" w:cs="Times"/>
          <w:lang w:eastAsia="x-none"/>
        </w:rPr>
        <w:t>.</w:t>
      </w:r>
      <w:bookmarkEnd w:id="5"/>
    </w:p>
    <w:p w14:paraId="57FCC21F" w14:textId="77777777" w:rsidR="0057700D" w:rsidRDefault="0057700D" w:rsidP="00146666">
      <w:pPr>
        <w:pStyle w:val="Proposal"/>
      </w:pPr>
      <w:bookmarkStart w:id="6" w:name="_Ref194072326"/>
      <w:r>
        <w:t>RAN1 should send LS to SA2 and SA5 to study other signalling approaches than using UE as relay (a.k.a., over-the-air approach).</w:t>
      </w:r>
      <w:bookmarkEnd w:id="6"/>
    </w:p>
    <w:p w14:paraId="16AFF788" w14:textId="77777777" w:rsidR="0057700D" w:rsidRDefault="0057700D" w:rsidP="00146666">
      <w:pPr>
        <w:pStyle w:val="Proposal"/>
      </w:pPr>
      <w:bookmarkStart w:id="7" w:name="_Ref194072332"/>
      <w:r>
        <w:t>L</w:t>
      </w:r>
      <w:r w:rsidRPr="00FC12EB">
        <w:t xml:space="preserve">ack of agreed </w:t>
      </w:r>
      <w:r>
        <w:t xml:space="preserve">signalling </w:t>
      </w:r>
      <w:r w:rsidRPr="00FC12EB">
        <w:t>solution in R19 should not be the gating factor blocking the normative work</w:t>
      </w:r>
      <w:r w:rsidRPr="008C1AD3">
        <w:t xml:space="preserve"> because p</w:t>
      </w:r>
      <w:r w:rsidRPr="00144651">
        <w:t>roprietary signal</w:t>
      </w:r>
      <w:r>
        <w:t>l</w:t>
      </w:r>
      <w:r w:rsidRPr="00144651">
        <w:t>ing can be assumed as default option in the absence of standardized signal</w:t>
      </w:r>
      <w:r>
        <w:t>l</w:t>
      </w:r>
      <w:r w:rsidRPr="00144651">
        <w:t>ing</w:t>
      </w:r>
      <w:r>
        <w:t>.</w:t>
      </w:r>
      <w:bookmarkEnd w:id="7"/>
    </w:p>
    <w:p w14:paraId="3A7F50C6" w14:textId="10B4606D" w:rsidR="0057700D" w:rsidRDefault="00F75572" w:rsidP="00C158D5">
      <w:pPr>
        <w:rPr>
          <w:lang w:val="en-US"/>
        </w:rPr>
      </w:pPr>
      <w:r>
        <w:rPr>
          <w:lang w:val="en-US"/>
        </w:rPr>
        <w:t>Regarding the down</w:t>
      </w:r>
      <w:r w:rsidR="00E54B02">
        <w:rPr>
          <w:lang w:val="en-US"/>
        </w:rPr>
        <w:t>-</w:t>
      </w:r>
      <w:r>
        <w:rPr>
          <w:lang w:val="en-US"/>
        </w:rPr>
        <w:t>selection of sub</w:t>
      </w:r>
      <w:r w:rsidR="00E54B02">
        <w:rPr>
          <w:lang w:val="en-US"/>
        </w:rPr>
        <w:t>-</w:t>
      </w:r>
      <w:r>
        <w:rPr>
          <w:lang w:val="en-US"/>
        </w:rPr>
        <w:t>option</w:t>
      </w:r>
      <w:r w:rsidR="00E54B02">
        <w:rPr>
          <w:lang w:val="en-US"/>
        </w:rPr>
        <w:t>s</w:t>
      </w:r>
      <w:r>
        <w:rPr>
          <w:lang w:val="en-US"/>
        </w:rPr>
        <w:t xml:space="preserve"> 4-1 and 3a-1, </w:t>
      </w:r>
      <w:r w:rsidR="00343D4C">
        <w:rPr>
          <w:lang w:val="en-US"/>
        </w:rPr>
        <w:t>the former has a slightly majority view</w:t>
      </w:r>
      <w:r w:rsidR="00655092">
        <w:rPr>
          <w:lang w:val="en-US"/>
        </w:rPr>
        <w:t xml:space="preserve">. The </w:t>
      </w:r>
      <w:r w:rsidR="00EE61BB">
        <w:rPr>
          <w:lang w:val="en-US"/>
        </w:rPr>
        <w:t>propone</w:t>
      </w:r>
      <w:r w:rsidR="004A032A">
        <w:rPr>
          <w:lang w:val="en-US"/>
        </w:rPr>
        <w:t>nt</w:t>
      </w:r>
      <w:r w:rsidR="00655092">
        <w:rPr>
          <w:lang w:val="en-US"/>
        </w:rPr>
        <w:t xml:space="preserve"> </w:t>
      </w:r>
      <w:r w:rsidR="00EE61BB">
        <w:rPr>
          <w:lang w:val="en-US"/>
        </w:rPr>
        <w:t xml:space="preserve">of 4-1 </w:t>
      </w:r>
      <w:r w:rsidR="00655092">
        <w:rPr>
          <w:lang w:val="en-US"/>
        </w:rPr>
        <w:t xml:space="preserve">think sharing the dataset </w:t>
      </w:r>
      <w:r w:rsidR="00337D67">
        <w:rPr>
          <w:lang w:val="en-US"/>
        </w:rPr>
        <w:t xml:space="preserve">is beneficial from performance perspective and also </w:t>
      </w:r>
      <w:r w:rsidR="00FB641F">
        <w:rPr>
          <w:lang w:val="en-US"/>
        </w:rPr>
        <w:t xml:space="preserve">involves less specification effort because there is no need to </w:t>
      </w:r>
      <w:r w:rsidR="00687B0F">
        <w:rPr>
          <w:lang w:val="en-US"/>
        </w:rPr>
        <w:t xml:space="preserve">specify the </w:t>
      </w:r>
      <w:r w:rsidR="00C91FC7">
        <w:rPr>
          <w:lang w:val="en-US"/>
        </w:rPr>
        <w:t>encoder</w:t>
      </w:r>
      <w:r w:rsidR="00687B0F">
        <w:rPr>
          <w:lang w:val="en-US"/>
        </w:rPr>
        <w:t xml:space="preserve"> structure. </w:t>
      </w:r>
      <w:r w:rsidR="00EE61BB">
        <w:rPr>
          <w:lang w:val="en-US"/>
        </w:rPr>
        <w:t xml:space="preserve">The </w:t>
      </w:r>
      <w:r w:rsidR="004A032A">
        <w:rPr>
          <w:lang w:val="en-US"/>
        </w:rPr>
        <w:t>proponent</w:t>
      </w:r>
      <w:r w:rsidR="00613F9A">
        <w:rPr>
          <w:lang w:val="en-US"/>
        </w:rPr>
        <w:t xml:space="preserve"> of 3a-1 </w:t>
      </w:r>
      <w:r w:rsidR="005F41E4">
        <w:rPr>
          <w:lang w:val="en-US"/>
        </w:rPr>
        <w:t>shares the views</w:t>
      </w:r>
      <w:r w:rsidR="0030132A">
        <w:rPr>
          <w:lang w:val="en-US"/>
        </w:rPr>
        <w:t xml:space="preserve"> that 3a-1 can also achieve similar performance as 4-1 using UE side data, and sharing the model parameter yields less overhead than </w:t>
      </w:r>
      <w:r w:rsidR="00E54B02">
        <w:rPr>
          <w:lang w:val="en-US"/>
        </w:rPr>
        <w:t>sharing the dataset.</w:t>
      </w:r>
      <w:r w:rsidR="001B0198">
        <w:rPr>
          <w:lang w:val="en-US"/>
        </w:rPr>
        <w:t xml:space="preserve"> Based on the discussion, </w:t>
      </w:r>
      <w:r w:rsidR="003F60DC">
        <w:rPr>
          <w:lang w:val="en-US"/>
        </w:rPr>
        <w:t xml:space="preserve">from progress perspective, </w:t>
      </w:r>
      <w:r w:rsidR="00E6683C">
        <w:rPr>
          <w:lang w:val="en-US"/>
        </w:rPr>
        <w:t xml:space="preserve">a possible conclusion would be confirming that both </w:t>
      </w:r>
      <w:r w:rsidR="00A10065">
        <w:rPr>
          <w:lang w:val="en-US"/>
        </w:rPr>
        <w:t>sub-options can address the inter-vendor collaboration complexity</w:t>
      </w:r>
      <w:r w:rsidR="00E87C23">
        <w:rPr>
          <w:lang w:val="en-US"/>
        </w:rPr>
        <w:t xml:space="preserve"> and recommend them to</w:t>
      </w:r>
      <w:r w:rsidR="006039FD">
        <w:rPr>
          <w:lang w:val="en-US"/>
        </w:rPr>
        <w:t xml:space="preserve"> the normative work</w:t>
      </w:r>
      <w:r w:rsidR="00D73CB4">
        <w:rPr>
          <w:lang w:val="en-US"/>
        </w:rPr>
        <w:t>.</w:t>
      </w:r>
      <w:r w:rsidR="006039FD">
        <w:rPr>
          <w:lang w:val="en-US"/>
        </w:rPr>
        <w:t xml:space="preserve"> The detailed specification</w:t>
      </w:r>
      <w:r w:rsidR="00BF56E8">
        <w:rPr>
          <w:lang w:val="en-US"/>
        </w:rPr>
        <w:t xml:space="preserve"> efforts such as which working group to specify the encoder</w:t>
      </w:r>
      <w:r w:rsidR="00DA2D41">
        <w:rPr>
          <w:lang w:val="en-US"/>
        </w:rPr>
        <w:t xml:space="preserve"> structure and which working group to specify the signaling</w:t>
      </w:r>
      <w:r w:rsidR="00BF56E8">
        <w:rPr>
          <w:lang w:val="en-US"/>
        </w:rPr>
        <w:t xml:space="preserve"> can be further discussed</w:t>
      </w:r>
      <w:r w:rsidR="00DA2D41">
        <w:rPr>
          <w:lang w:val="en-US"/>
        </w:rPr>
        <w:t>.</w:t>
      </w:r>
      <w:r w:rsidR="00D73CB4">
        <w:rPr>
          <w:lang w:val="en-US"/>
        </w:rPr>
        <w:t xml:space="preserve"> </w:t>
      </w:r>
    </w:p>
    <w:p w14:paraId="230EDB1E" w14:textId="5E96EBE8" w:rsidR="00D62AA3" w:rsidRPr="00D135B8" w:rsidRDefault="006F5E17" w:rsidP="00D135B8">
      <w:pPr>
        <w:pStyle w:val="Observation"/>
        <w:rPr>
          <w:rFonts w:eastAsia="SimSun" w:cs="Times"/>
          <w:lang w:eastAsia="x-none"/>
        </w:rPr>
      </w:pPr>
      <w:bookmarkStart w:id="8" w:name="_Ref194071944"/>
      <w:r w:rsidRPr="00D135B8">
        <w:rPr>
          <w:rFonts w:eastAsia="SimSun" w:cs="Times"/>
          <w:lang w:eastAsia="x-none"/>
        </w:rPr>
        <w:t>Sub-option 4-1 has less specification effort</w:t>
      </w:r>
      <w:r w:rsidR="00621227" w:rsidRPr="00D135B8">
        <w:rPr>
          <w:rFonts w:eastAsia="SimSun" w:cs="Times"/>
          <w:lang w:eastAsia="x-none"/>
        </w:rPr>
        <w:t xml:space="preserve"> than sub</w:t>
      </w:r>
      <w:r w:rsidR="00FF0E25" w:rsidRPr="00D135B8">
        <w:rPr>
          <w:rFonts w:eastAsia="SimSun" w:cs="Times"/>
          <w:lang w:eastAsia="x-none"/>
        </w:rPr>
        <w:t>-</w:t>
      </w:r>
      <w:r w:rsidR="00621227" w:rsidRPr="00D135B8">
        <w:rPr>
          <w:rFonts w:eastAsia="SimSun" w:cs="Times"/>
          <w:lang w:eastAsia="x-none"/>
        </w:rPr>
        <w:t>option 3a-1</w:t>
      </w:r>
      <w:r w:rsidR="00FF0E25" w:rsidRPr="00D135B8">
        <w:rPr>
          <w:rFonts w:eastAsia="SimSun" w:cs="Times"/>
          <w:lang w:eastAsia="x-none"/>
        </w:rPr>
        <w:t>, while sub-option 3a-1</w:t>
      </w:r>
      <w:r w:rsidR="000079DB" w:rsidRPr="00D135B8">
        <w:rPr>
          <w:rFonts w:eastAsia="SimSun" w:cs="Times"/>
          <w:lang w:eastAsia="x-none"/>
        </w:rPr>
        <w:t xml:space="preserve"> </w:t>
      </w:r>
      <w:r w:rsidR="00FF0E25" w:rsidRPr="00D135B8">
        <w:rPr>
          <w:rFonts w:eastAsia="SimSun" w:cs="Times"/>
          <w:lang w:eastAsia="x-none"/>
        </w:rPr>
        <w:t>may yield less overhead in exchanging the model parameter than the dataset.</w:t>
      </w:r>
      <w:bookmarkEnd w:id="8"/>
    </w:p>
    <w:p w14:paraId="659ECD17" w14:textId="66FE5339" w:rsidR="00FF0E25" w:rsidRPr="00D135B8" w:rsidRDefault="00FF0E25" w:rsidP="00D135B8">
      <w:pPr>
        <w:pStyle w:val="Observation"/>
        <w:rPr>
          <w:rFonts w:eastAsia="SimSun" w:cs="Times"/>
          <w:lang w:eastAsia="x-none"/>
        </w:rPr>
      </w:pPr>
      <w:bookmarkStart w:id="9" w:name="_Ref194071952"/>
      <w:r w:rsidRPr="00D135B8">
        <w:rPr>
          <w:rFonts w:eastAsia="SimSun" w:cs="Times"/>
          <w:lang w:eastAsia="x-none"/>
        </w:rPr>
        <w:lastRenderedPageBreak/>
        <w:t xml:space="preserve">Based on observations captured in the last meeting, some companies </w:t>
      </w:r>
      <w:r w:rsidR="00A03B9B" w:rsidRPr="00D135B8">
        <w:rPr>
          <w:rFonts w:eastAsia="SimSun" w:cs="Times"/>
          <w:lang w:eastAsia="x-none"/>
        </w:rPr>
        <w:t>observe</w:t>
      </w:r>
      <w:r w:rsidRPr="00D135B8">
        <w:rPr>
          <w:rFonts w:eastAsia="SimSun" w:cs="Times"/>
          <w:lang w:eastAsia="x-none"/>
        </w:rPr>
        <w:t xml:space="preserve"> 4-1</w:t>
      </w:r>
      <w:r w:rsidR="00A03B9B" w:rsidRPr="00D135B8">
        <w:rPr>
          <w:rFonts w:eastAsia="SimSun" w:cs="Times"/>
          <w:lang w:eastAsia="x-none"/>
        </w:rPr>
        <w:t xml:space="preserve"> outperforms 3a-1, while some companies observe similar performance.</w:t>
      </w:r>
      <w:bookmarkEnd w:id="9"/>
    </w:p>
    <w:p w14:paraId="1F059B5F" w14:textId="4BB1B2AF" w:rsidR="00D135B8" w:rsidRDefault="004637FD" w:rsidP="00C158D5">
      <w:pPr>
        <w:pStyle w:val="Proposal"/>
      </w:pPr>
      <w:bookmarkStart w:id="10" w:name="_Ref194072339"/>
      <w:r w:rsidRPr="00D135B8">
        <w:t>For inter-vendor collaboration,</w:t>
      </w:r>
      <w:r w:rsidR="007C3CC3" w:rsidRPr="00D135B8">
        <w:t xml:space="preserve"> r</w:t>
      </w:r>
      <w:r w:rsidRPr="00D135B8">
        <w:t xml:space="preserve">ecommend sub-option </w:t>
      </w:r>
      <w:r w:rsidR="0042419F" w:rsidRPr="00D135B8">
        <w:t>4-1</w:t>
      </w:r>
      <w:r w:rsidR="007C3CC3" w:rsidRPr="00D135B8">
        <w:t xml:space="preserve">, 3a-1 </w:t>
      </w:r>
      <w:r w:rsidR="000F148B">
        <w:t xml:space="preserve">of Direction A </w:t>
      </w:r>
      <w:r w:rsidR="007C3CC3" w:rsidRPr="00D135B8">
        <w:t>and Direction C for normative work.</w:t>
      </w:r>
      <w:bookmarkEnd w:id="10"/>
    </w:p>
    <w:p w14:paraId="11765661" w14:textId="5FD697AC" w:rsidR="00E300ED" w:rsidRPr="00146666" w:rsidRDefault="00726D15" w:rsidP="00146666">
      <w:pPr>
        <w:pStyle w:val="Proposal"/>
        <w:numPr>
          <w:ilvl w:val="0"/>
          <w:numId w:val="0"/>
        </w:numPr>
        <w:rPr>
          <w:rFonts w:eastAsia="Malgun Gothic"/>
          <w:b w:val="0"/>
          <w:bCs w:val="0"/>
          <w:i w:val="0"/>
          <w:iCs w:val="0"/>
          <w:lang w:val="en-US" w:eastAsia="en-US"/>
        </w:rPr>
      </w:pPr>
      <w:r>
        <w:rPr>
          <w:rFonts w:eastAsia="Malgun Gothic"/>
          <w:b w:val="0"/>
          <w:bCs w:val="0"/>
          <w:i w:val="0"/>
          <w:iCs w:val="0"/>
          <w:lang w:val="en-US" w:eastAsia="en-US"/>
        </w:rPr>
        <w:t xml:space="preserve">Regarding the relationship between the models developed along Direction A and C, </w:t>
      </w:r>
      <w:r w:rsidR="00F0495E">
        <w:rPr>
          <w:rFonts w:eastAsia="Malgun Gothic"/>
          <w:b w:val="0"/>
          <w:bCs w:val="0"/>
          <w:i w:val="0"/>
          <w:iCs w:val="0"/>
          <w:lang w:val="en-US" w:eastAsia="en-US"/>
        </w:rPr>
        <w:t xml:space="preserve">their difference in terms of functionality was agreed in the last meeting, but </w:t>
      </w:r>
      <w:r w:rsidR="004C731A">
        <w:rPr>
          <w:rFonts w:eastAsia="Malgun Gothic"/>
          <w:b w:val="0"/>
          <w:bCs w:val="0"/>
          <w:i w:val="0"/>
          <w:iCs w:val="0"/>
          <w:lang w:val="en-US" w:eastAsia="en-US"/>
        </w:rPr>
        <w:t>it would be</w:t>
      </w:r>
      <w:r w:rsidR="00F0495E">
        <w:rPr>
          <w:rFonts w:eastAsia="Malgun Gothic"/>
          <w:b w:val="0"/>
          <w:bCs w:val="0"/>
          <w:i w:val="0"/>
          <w:iCs w:val="0"/>
          <w:lang w:val="en-US" w:eastAsia="en-US"/>
        </w:rPr>
        <w:t xml:space="preserve"> more</w:t>
      </w:r>
      <w:r w:rsidR="004C731A">
        <w:rPr>
          <w:rFonts w:eastAsia="Malgun Gothic"/>
          <w:b w:val="0"/>
          <w:bCs w:val="0"/>
          <w:i w:val="0"/>
          <w:iCs w:val="0"/>
          <w:lang w:val="en-US" w:eastAsia="en-US"/>
        </w:rPr>
        <w:t xml:space="preserve"> meaningful to </w:t>
      </w:r>
      <w:r w:rsidR="00DE1C47">
        <w:rPr>
          <w:rFonts w:eastAsia="Malgun Gothic"/>
          <w:b w:val="0"/>
          <w:bCs w:val="0"/>
          <w:i w:val="0"/>
          <w:iCs w:val="0"/>
          <w:lang w:val="en-US" w:eastAsia="en-US"/>
        </w:rPr>
        <w:t xml:space="preserve">differentiate them </w:t>
      </w:r>
      <w:r w:rsidR="00185598">
        <w:rPr>
          <w:rFonts w:eastAsia="Malgun Gothic"/>
          <w:b w:val="0"/>
          <w:bCs w:val="0"/>
          <w:i w:val="0"/>
          <w:iCs w:val="0"/>
          <w:lang w:val="en-US" w:eastAsia="en-US"/>
        </w:rPr>
        <w:t>with specification impact</w:t>
      </w:r>
      <w:r w:rsidR="00DE1C47">
        <w:rPr>
          <w:rFonts w:eastAsia="Malgun Gothic"/>
          <w:b w:val="0"/>
          <w:bCs w:val="0"/>
          <w:i w:val="0"/>
          <w:iCs w:val="0"/>
          <w:lang w:val="en-US" w:eastAsia="en-US"/>
        </w:rPr>
        <w:t xml:space="preserve">. </w:t>
      </w:r>
      <w:r w:rsidR="00CC33DF">
        <w:rPr>
          <w:rFonts w:eastAsia="Malgun Gothic"/>
          <w:b w:val="0"/>
          <w:bCs w:val="0"/>
          <w:i w:val="0"/>
          <w:iCs w:val="0"/>
          <w:lang w:val="en-US" w:eastAsia="en-US"/>
        </w:rPr>
        <w:t xml:space="preserve">In our view, since they are developed </w:t>
      </w:r>
      <w:r w:rsidR="005F3BB2">
        <w:rPr>
          <w:rFonts w:eastAsia="Malgun Gothic"/>
          <w:b w:val="0"/>
          <w:bCs w:val="0"/>
          <w:i w:val="0"/>
          <w:iCs w:val="0"/>
          <w:lang w:val="en-US" w:eastAsia="en-US"/>
        </w:rPr>
        <w:t xml:space="preserve">against to different reference models (fully specified model in Dir C and exchanged </w:t>
      </w:r>
      <w:r w:rsidR="00A10D62">
        <w:rPr>
          <w:rFonts w:eastAsia="Malgun Gothic"/>
          <w:b w:val="0"/>
          <w:bCs w:val="0"/>
          <w:i w:val="0"/>
          <w:iCs w:val="0"/>
          <w:lang w:val="en-US" w:eastAsia="en-US"/>
        </w:rPr>
        <w:t>reference model parameter / dataset in Dir A</w:t>
      </w:r>
      <w:r w:rsidR="005F3BB2">
        <w:rPr>
          <w:rFonts w:eastAsia="Malgun Gothic"/>
          <w:b w:val="0"/>
          <w:bCs w:val="0"/>
          <w:i w:val="0"/>
          <w:iCs w:val="0"/>
          <w:lang w:val="en-US" w:eastAsia="en-US"/>
        </w:rPr>
        <w:t>)</w:t>
      </w:r>
      <w:r w:rsidR="00A10D62">
        <w:rPr>
          <w:rFonts w:eastAsia="Malgun Gothic"/>
          <w:b w:val="0"/>
          <w:bCs w:val="0"/>
          <w:i w:val="0"/>
          <w:iCs w:val="0"/>
          <w:lang w:val="en-US" w:eastAsia="en-US"/>
        </w:rPr>
        <w:t xml:space="preserve">, it is reasonable to assign different (pairing) IDs to </w:t>
      </w:r>
      <w:r w:rsidR="00302591">
        <w:rPr>
          <w:rFonts w:eastAsia="Malgun Gothic"/>
          <w:b w:val="0"/>
          <w:bCs w:val="0"/>
          <w:i w:val="0"/>
          <w:iCs w:val="0"/>
          <w:lang w:val="en-US" w:eastAsia="en-US"/>
        </w:rPr>
        <w:t xml:space="preserve">them. For example, a default ID0 is assigned to model designed </w:t>
      </w:r>
      <w:r w:rsidR="00246000">
        <w:rPr>
          <w:rFonts w:eastAsia="Malgun Gothic"/>
          <w:b w:val="0"/>
          <w:bCs w:val="0"/>
          <w:i w:val="0"/>
          <w:iCs w:val="0"/>
          <w:lang w:val="en-US" w:eastAsia="en-US"/>
        </w:rPr>
        <w:t>along</w:t>
      </w:r>
      <w:r w:rsidR="00302591">
        <w:rPr>
          <w:rFonts w:eastAsia="Malgun Gothic"/>
          <w:b w:val="0"/>
          <w:bCs w:val="0"/>
          <w:i w:val="0"/>
          <w:iCs w:val="0"/>
          <w:lang w:val="en-US" w:eastAsia="en-US"/>
        </w:rPr>
        <w:t xml:space="preserve"> Direction</w:t>
      </w:r>
      <w:r w:rsidR="00246000">
        <w:rPr>
          <w:rFonts w:eastAsia="Malgun Gothic"/>
          <w:b w:val="0"/>
          <w:bCs w:val="0"/>
          <w:i w:val="0"/>
          <w:iCs w:val="0"/>
          <w:lang w:val="en-US" w:eastAsia="en-US"/>
        </w:rPr>
        <w:t xml:space="preserve"> C, while other IDs can be assigned to models designed along Direction A</w:t>
      </w:r>
      <w:r w:rsidR="0046088E">
        <w:rPr>
          <w:rFonts w:eastAsia="Malgun Gothic"/>
          <w:b w:val="0"/>
          <w:bCs w:val="0"/>
          <w:i w:val="0"/>
          <w:iCs w:val="0"/>
          <w:lang w:val="en-US" w:eastAsia="en-US"/>
        </w:rPr>
        <w:t>. These IDs can be used in applicable condition reporting, UE side data collection</w:t>
      </w:r>
      <w:r w:rsidR="00D25C12">
        <w:rPr>
          <w:rFonts w:eastAsia="Malgun Gothic"/>
          <w:b w:val="0"/>
          <w:bCs w:val="0"/>
          <w:i w:val="0"/>
          <w:iCs w:val="0"/>
          <w:lang w:val="en-US" w:eastAsia="en-US"/>
        </w:rPr>
        <w:t xml:space="preserve"> and inference configuration.</w:t>
      </w:r>
    </w:p>
    <w:p w14:paraId="35109849" w14:textId="5C6F64E3" w:rsidR="0021018F" w:rsidRDefault="00814BA2" w:rsidP="00C158D5">
      <w:pPr>
        <w:pStyle w:val="Proposal"/>
      </w:pPr>
      <w:bookmarkStart w:id="11" w:name="_Ref194072345"/>
      <w:r>
        <w:t xml:space="preserve">Model developed along Direction A and C will be identified </w:t>
      </w:r>
      <w:r w:rsidR="00E95CE6">
        <w:t>with different IDs.</w:t>
      </w:r>
      <w:bookmarkEnd w:id="11"/>
    </w:p>
    <w:p w14:paraId="7D100D14" w14:textId="612E7F6D" w:rsidR="00251DDC" w:rsidRDefault="00251DDC" w:rsidP="004A2378">
      <w:pPr>
        <w:pStyle w:val="Proposal"/>
        <w:numPr>
          <w:ilvl w:val="0"/>
          <w:numId w:val="24"/>
        </w:numPr>
      </w:pPr>
      <w:r>
        <w:t xml:space="preserve">ID0 is assigned to </w:t>
      </w:r>
      <w:r w:rsidR="00AE4FE4">
        <w:t>the model that is designed compatible to the specified model in RAN4</w:t>
      </w:r>
      <w:r w:rsidR="00517A66">
        <w:t>.</w:t>
      </w:r>
    </w:p>
    <w:p w14:paraId="580FADFC" w14:textId="76814149" w:rsidR="00AE4FE4" w:rsidRDefault="00AE4FE4" w:rsidP="004A2378">
      <w:pPr>
        <w:pStyle w:val="Proposal"/>
        <w:numPr>
          <w:ilvl w:val="0"/>
          <w:numId w:val="24"/>
        </w:numPr>
      </w:pPr>
      <w:r>
        <w:t>ID1, …, etc assigned to the models</w:t>
      </w:r>
      <w:r w:rsidR="008E72F0">
        <w:t xml:space="preserve"> designed via dataset / model parameter sharing</w:t>
      </w:r>
      <w:r w:rsidR="00FE76CA">
        <w:t>.</w:t>
      </w:r>
    </w:p>
    <w:p w14:paraId="4B9E35C0" w14:textId="42B3A669" w:rsidR="003F2335" w:rsidRDefault="00DE2D3E" w:rsidP="00D70B54">
      <w:pPr>
        <w:pStyle w:val="Heading1"/>
      </w:pPr>
      <w:r>
        <w:t>Model structure standardization feasibility and scalability</w:t>
      </w:r>
    </w:p>
    <w:p w14:paraId="6240F720" w14:textId="6D3E4D77" w:rsidR="005922CB" w:rsidRDefault="005922CB" w:rsidP="00F4527A">
      <w:pPr>
        <w:pStyle w:val="Heading2"/>
      </w:pPr>
      <w:r>
        <w:t xml:space="preserve">Model structure scalability over </w:t>
      </w:r>
      <w:r w:rsidR="009132BA">
        <w:t>subband</w:t>
      </w:r>
      <w:r w:rsidR="00686AD4">
        <w:t>, antenna port and payload</w:t>
      </w:r>
    </w:p>
    <w:p w14:paraId="7A855EC6" w14:textId="0CA99EE2" w:rsidR="009B4E73" w:rsidRDefault="005A5B17" w:rsidP="009B4E73">
      <w:r>
        <w:t xml:space="preserve">In the last meeting, </w:t>
      </w:r>
      <w:r w:rsidR="00D61EA5">
        <w:t>it was agreed to use typical transformer structure as the backbone</w:t>
      </w:r>
      <w:r w:rsidR="00ED25C0">
        <w:t xml:space="preserve"> and list various </w:t>
      </w:r>
      <w:r w:rsidR="002D0D18">
        <w:t>alternatives for tokenization, scalability over feature dimension, scalability over number of tokens, scalability over payload</w:t>
      </w:r>
      <w:r w:rsidR="00625978">
        <w:t xml:space="preserve"> configurations.</w:t>
      </w:r>
      <w:r w:rsidR="009B4E73">
        <w:t xml:space="preserve"> In this section, we elaborate on our considerations of model scalability focusing on Case 0 (spatial-frequency compression).</w:t>
      </w:r>
    </w:p>
    <w:p w14:paraId="6991BAD4" w14:textId="77777777" w:rsidR="009B4E73" w:rsidRPr="00E54178" w:rsidRDefault="009B4E73" w:rsidP="009B4E73">
      <w:pPr>
        <w:rPr>
          <w:b/>
          <w:bCs/>
          <w:u w:val="single"/>
        </w:rPr>
      </w:pPr>
      <w:r w:rsidRPr="00E54178">
        <w:rPr>
          <w:b/>
          <w:bCs/>
          <w:u w:val="single"/>
        </w:rPr>
        <w:t>Model structure and its scalability:</w:t>
      </w:r>
    </w:p>
    <w:p w14:paraId="5F35743D" w14:textId="77777777" w:rsidR="003013C6" w:rsidRDefault="009B4E73" w:rsidP="003013C6">
      <w:pPr>
        <w:keepNext/>
      </w:pPr>
      <w:r>
        <w:rPr>
          <w:noProof/>
        </w:rPr>
        <w:drawing>
          <wp:inline distT="0" distB="0" distL="0" distR="0" wp14:anchorId="0160E19E" wp14:editId="1A181D04">
            <wp:extent cx="5943600" cy="1569720"/>
            <wp:effectExtent l="0" t="0" r="0" b="0"/>
            <wp:docPr id="19641321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132124" name="Picture 1"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1569720"/>
                    </a:xfrm>
                    <a:prstGeom prst="rect">
                      <a:avLst/>
                    </a:prstGeom>
                  </pic:spPr>
                </pic:pic>
              </a:graphicData>
            </a:graphic>
          </wp:inline>
        </w:drawing>
      </w:r>
    </w:p>
    <w:p w14:paraId="5B48FF92" w14:textId="1C530430" w:rsidR="009B4E73" w:rsidRDefault="009B4E73" w:rsidP="009B4E73">
      <w:pPr>
        <w:pStyle w:val="Caption"/>
      </w:pPr>
      <w:bookmarkStart w:id="12" w:name="_Ref193979971"/>
      <w:r>
        <w:t xml:space="preserve">Figure </w:t>
      </w:r>
      <w:r w:rsidR="00D67F58">
        <w:fldChar w:fldCharType="begin"/>
      </w:r>
      <w:r w:rsidR="00D67F58">
        <w:instrText xml:space="preserve"> STYLEREF 1 \s </w:instrText>
      </w:r>
      <w:r w:rsidR="00D67F58">
        <w:fldChar w:fldCharType="separate"/>
      </w:r>
      <w:r w:rsidR="00631423">
        <w:rPr>
          <w:noProof/>
        </w:rPr>
        <w:t>3</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1</w:t>
      </w:r>
      <w:r w:rsidR="00D67F58">
        <w:fldChar w:fldCharType="end"/>
      </w:r>
      <w:bookmarkEnd w:id="12"/>
      <w:r>
        <w:t>. Model structure of using a common backbone with adaptation layers and paddings to scale with various port configurations, subband configurations and payload configurations.</w:t>
      </w:r>
    </w:p>
    <w:p w14:paraId="1A817735" w14:textId="3BB34819" w:rsidR="009B4E73" w:rsidRDefault="009B4E73" w:rsidP="009B4E73">
      <w:r>
        <w:t>We consider a transformer-based general model structure shown in</w:t>
      </w:r>
      <w:r w:rsidR="003013C6">
        <w:t xml:space="preserve"> </w:t>
      </w:r>
      <w:r w:rsidR="003013C6">
        <w:fldChar w:fldCharType="begin"/>
      </w:r>
      <w:r w:rsidR="003013C6">
        <w:instrText xml:space="preserve"> REF _Ref193979971 \h </w:instrText>
      </w:r>
      <w:r w:rsidR="003013C6">
        <w:fldChar w:fldCharType="separate"/>
      </w:r>
      <w:r w:rsidR="00631423">
        <w:t xml:space="preserve">Figure </w:t>
      </w:r>
      <w:r w:rsidR="00631423">
        <w:rPr>
          <w:noProof/>
        </w:rPr>
        <w:t>3</w:t>
      </w:r>
      <w:r w:rsidR="00631423">
        <w:noBreakHyphen/>
      </w:r>
      <w:r w:rsidR="00631423">
        <w:rPr>
          <w:noProof/>
        </w:rPr>
        <w:t>1</w:t>
      </w:r>
      <w:r w:rsidR="003013C6">
        <w:fldChar w:fldCharType="end"/>
      </w:r>
      <w:r>
        <w:t>. A common backbone structure is used for all possible antenna port configuration, subband configuration and payload configurations. The common backbone structure includes a positional embedding layer and a series of transformer blocks. More specifically, the size of the positional embedding is designed based on the max number of subbands (e.g., 19) and the dimension of the transformer block</w:t>
      </w:r>
      <w:r w:rsidR="003F29CC">
        <w:t xml:space="preserve"> (</w:t>
      </w:r>
      <m:oMath>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=64</m:t>
        </m:r>
      </m:oMath>
      <w:r w:rsidR="003F29CC">
        <w:t>)</w:t>
      </w:r>
      <w:r>
        <w:t xml:space="preserve"> to support all possible subband configurations. Hyper-parameters of the transformer blocks include its depth</w:t>
      </w:r>
      <w:r w:rsidR="00D96867">
        <w:t xml:space="preserve"> </w:t>
      </w:r>
      <m:oMath>
        <m:sSub>
          <m:sSubPr>
            <m:ctrlPr>
              <w:rPr>
                <w:rFonts w:ascii="Cambria Math" w:hAnsi="Cambria Math"/>
                <w:i/>
              </w:rPr>
            </m:ctrlPr>
          </m:sSubPr>
          <m:e>
            <m:r>
              <w:rPr>
                <w:rFonts w:ascii="Cambria Math" w:hAnsi="Cambria Math"/>
              </w:rPr>
              <m:t>N</m:t>
            </m:r>
          </m:e>
          <m:sub>
            <m:r>
              <w:rPr>
                <w:rFonts w:ascii="Cambria Math" w:hAnsi="Cambria Math"/>
              </w:rPr>
              <m:t>TF</m:t>
            </m:r>
          </m:sub>
        </m:sSub>
        <m:r>
          <w:rPr>
            <w:rFonts w:ascii="Cambria Math" w:hAnsi="Cambria Math"/>
          </w:rPr>
          <m:t>=6</m:t>
        </m:r>
      </m:oMath>
      <w:r>
        <w:t>, dimension of the transformer block</w:t>
      </w:r>
      <w:r w:rsidR="00D96867">
        <w:t xml:space="preserve"> </w:t>
      </w:r>
      <m:oMath>
        <m:sSub>
          <m:sSubPr>
            <m:ctrlPr>
              <w:rPr>
                <w:rFonts w:ascii="Cambria Math" w:hAnsi="Cambria Math"/>
                <w:i/>
              </w:rPr>
            </m:ctrlPr>
          </m:sSubPr>
          <m:e>
            <m:r>
              <w:rPr>
                <w:rFonts w:ascii="Cambria Math" w:hAnsi="Cambria Math"/>
              </w:rPr>
              <m:t>d</m:t>
            </m:r>
          </m:e>
          <m:sub>
            <m:r>
              <w:rPr>
                <w:rFonts w:ascii="Cambria Math" w:hAnsi="Cambria Math"/>
              </w:rPr>
              <m:t>model</m:t>
            </m:r>
          </m:sub>
        </m:sSub>
        <m:r>
          <w:rPr>
            <w:rFonts w:ascii="Cambria Math" w:hAnsi="Cambria Math"/>
          </w:rPr>
          <m:t>=64</m:t>
        </m:r>
      </m:oMath>
      <w:r>
        <w:t>, number of attention heads</w:t>
      </w:r>
      <w:r w:rsidR="00D15D52">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r>
          <w:rPr>
            <w:rFonts w:ascii="Cambria Math" w:hAnsi="Cambria Math"/>
          </w:rPr>
          <m:t>=8</m:t>
        </m:r>
      </m:oMath>
      <w:r>
        <w:t>, dimension of each attention head</w:t>
      </w:r>
      <w:r w:rsidR="00D15D52">
        <w:t xml:space="preserve"> </w:t>
      </w:r>
      <m:oMath>
        <m:sSub>
          <m:sSubPr>
            <m:ctrlPr>
              <w:rPr>
                <w:rFonts w:ascii="Cambria Math" w:hAnsi="Cambria Math"/>
                <w:i/>
              </w:rPr>
            </m:ctrlPr>
          </m:sSubPr>
          <m:e>
            <m:r>
              <w:rPr>
                <w:rFonts w:ascii="Cambria Math" w:hAnsi="Cambria Math"/>
              </w:rPr>
              <m:t>d</m:t>
            </m:r>
          </m:e>
          <m:sub>
            <m:r>
              <w:rPr>
                <w:rFonts w:ascii="Cambria Math" w:hAnsi="Cambria Math"/>
              </w:rPr>
              <m:t>head</m:t>
            </m:r>
          </m:sub>
        </m:sSub>
        <m:r>
          <w:rPr>
            <w:rFonts w:ascii="Cambria Math" w:hAnsi="Cambria Math"/>
          </w:rPr>
          <m:t>=8</m:t>
        </m:r>
      </m:oMath>
      <w:r w:rsidR="009545B1">
        <w:t xml:space="preserve">, and dimension of feedforward layer inside the TF block </w:t>
      </w:r>
      <m:oMath>
        <m:sSub>
          <m:sSubPr>
            <m:ctrlPr>
              <w:rPr>
                <w:rFonts w:ascii="Cambria Math" w:hAnsi="Cambria Math"/>
                <w:i/>
              </w:rPr>
            </m:ctrlPr>
          </m:sSubPr>
          <m:e>
            <m:r>
              <w:rPr>
                <w:rFonts w:ascii="Cambria Math" w:hAnsi="Cambria Math"/>
              </w:rPr>
              <m:t>d</m:t>
            </m:r>
          </m:e>
          <m:sub>
            <m:r>
              <w:rPr>
                <w:rFonts w:ascii="Cambria Math" w:hAnsi="Cambria Math"/>
              </w:rPr>
              <m:t>FF</m:t>
            </m:r>
          </m:sub>
        </m:sSub>
        <m:r>
          <w:rPr>
            <w:rFonts w:ascii="Cambria Math" w:hAnsi="Cambria Math"/>
          </w:rPr>
          <m:t>=256</m:t>
        </m:r>
      </m:oMath>
      <w:r>
        <w:t xml:space="preserve">. </w:t>
      </w:r>
    </w:p>
    <w:p w14:paraId="54872094" w14:textId="77777777" w:rsidR="00397071" w:rsidRDefault="00C02B0D" w:rsidP="009B4E73">
      <w:r w:rsidRPr="00711646">
        <w:rPr>
          <w:b/>
          <w:bCs/>
          <w:u w:val="single"/>
        </w:rPr>
        <w:lastRenderedPageBreak/>
        <w:t xml:space="preserve">For tokenization, we adopt </w:t>
      </w:r>
      <w:r w:rsidR="00C542B2" w:rsidRPr="00711646">
        <w:rPr>
          <w:b/>
          <w:bCs/>
          <w:u w:val="single"/>
        </w:rPr>
        <w:t>Alt1 from the agreement in last meeting</w:t>
      </w:r>
      <w:r w:rsidR="00C542B2">
        <w:t xml:space="preserve">, where </w:t>
      </w:r>
      <w:r w:rsidR="00397071">
        <w:t>the subband is considered as token dimension, while the number of ports and the real / image part of the complex floating point are jointly considered as the feature dimension.</w:t>
      </w:r>
    </w:p>
    <w:p w14:paraId="737D33F1" w14:textId="77777777" w:rsidR="007B6D66" w:rsidRDefault="001D7DA5" w:rsidP="009B4E73">
      <w:r w:rsidRPr="00711646">
        <w:rPr>
          <w:b/>
          <w:bCs/>
          <w:u w:val="single"/>
        </w:rPr>
        <w:t>For scalability over feature dimensions</w:t>
      </w:r>
      <w:r w:rsidRPr="00650D93">
        <w:rPr>
          <w:b/>
          <w:bCs/>
          <w:u w:val="single"/>
        </w:rPr>
        <w:t xml:space="preserve">, i.e., </w:t>
      </w:r>
      <w:r w:rsidR="00632DFB" w:rsidRPr="00650D93">
        <w:rPr>
          <w:b/>
          <w:bCs/>
          <w:u w:val="single"/>
        </w:rPr>
        <w:t>t</w:t>
      </w:r>
      <w:r w:rsidR="009B4E73" w:rsidRPr="00650D93">
        <w:rPr>
          <w:b/>
          <w:bCs/>
          <w:u w:val="single"/>
        </w:rPr>
        <w:t>o scales with antenna port configurations</w:t>
      </w:r>
      <w:r w:rsidR="009B4E73" w:rsidRPr="00DF31B8">
        <w:rPr>
          <w:b/>
          <w:bCs/>
          <w:u w:val="single"/>
        </w:rPr>
        <w:t xml:space="preserve">, we </w:t>
      </w:r>
      <w:r w:rsidR="00307ECC" w:rsidRPr="00DF31B8">
        <w:rPr>
          <w:b/>
          <w:bCs/>
          <w:u w:val="single"/>
        </w:rPr>
        <w:t>consider Alt1, Alt2 and their combinations</w:t>
      </w:r>
      <w:r w:rsidR="00307ECC">
        <w:t xml:space="preserve">. More specifically, </w:t>
      </w:r>
    </w:p>
    <w:p w14:paraId="47366C02" w14:textId="1FBD5866" w:rsidR="009E5967" w:rsidRDefault="007B6D66" w:rsidP="004A2378">
      <w:pPr>
        <w:pStyle w:val="ListParagraph"/>
        <w:numPr>
          <w:ilvl w:val="0"/>
          <w:numId w:val="18"/>
        </w:numPr>
        <w:contextualSpacing w:val="0"/>
      </w:pPr>
      <w:r>
        <w:t>Alt1</w:t>
      </w:r>
      <w:r w:rsidR="00326AC3">
        <w:t xml:space="preserve"> </w:t>
      </w:r>
      <w:r w:rsidR="005C07EC">
        <w:t>specific embedding layer</w:t>
      </w:r>
      <w:r w:rsidR="0042472D">
        <w:t xml:space="preserve"> with different parameters</w:t>
      </w:r>
      <w:r w:rsidR="00173359">
        <w:t xml:space="preserve">: We employ </w:t>
      </w:r>
      <w:r w:rsidR="009B4E73">
        <w:t xml:space="preserve">different linear embedding layers prior to the positional embedding </w:t>
      </w:r>
      <w:r w:rsidR="00025E67">
        <w:t>for each antenna port setup. For 2x8</w:t>
      </w:r>
      <w:r w:rsidR="0010129D">
        <w:t xml:space="preserve"> array, </w:t>
      </w:r>
      <w:r w:rsidR="006B77D8">
        <w:t xml:space="preserve">considering </w:t>
      </w:r>
      <m:oMath>
        <m:sSub>
          <m:sSubPr>
            <m:ctrlPr>
              <w:rPr>
                <w:rFonts w:ascii="Cambria Math" w:hAnsi="Cambria Math"/>
                <w:i/>
              </w:rPr>
            </m:ctrlPr>
          </m:sSubPr>
          <m:e>
            <m:r>
              <w:rPr>
                <w:rFonts w:ascii="Cambria Math" w:hAnsi="Cambria Math"/>
              </w:rPr>
              <m:t>d</m:t>
            </m:r>
          </m:e>
          <m:sub>
            <m:r>
              <w:rPr>
                <w:rFonts w:ascii="Cambria Math" w:hAnsi="Cambria Math"/>
              </w:rPr>
              <m:t>token</m:t>
            </m:r>
          </m:sub>
        </m:sSub>
        <m:r>
          <w:rPr>
            <w:rFonts w:ascii="Cambria Math" w:hAnsi="Cambria Math"/>
          </w:rPr>
          <m:t>=64</m:t>
        </m:r>
      </m:oMath>
      <w:r w:rsidR="006B77D8">
        <w:t xml:space="preserve">, </w:t>
      </w:r>
      <w:r w:rsidR="0010129D">
        <w:t xml:space="preserve">a linear embedding layer with size </w:t>
      </w:r>
      <m:oMath>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×64</m:t>
        </m:r>
      </m:oMath>
      <w:r w:rsidR="006B77D8">
        <w:t xml:space="preserve"> is used; for 4x4 array, considering </w:t>
      </w:r>
      <m:oMath>
        <m:sSub>
          <m:sSubPr>
            <m:ctrlPr>
              <w:rPr>
                <w:rFonts w:ascii="Cambria Math" w:hAnsi="Cambria Math"/>
                <w:i/>
              </w:rPr>
            </m:ctrlPr>
          </m:sSubPr>
          <m:e>
            <m:r>
              <w:rPr>
                <w:rFonts w:ascii="Cambria Math" w:hAnsi="Cambria Math"/>
              </w:rPr>
              <m:t>d</m:t>
            </m:r>
          </m:e>
          <m:sub>
            <m:r>
              <w:rPr>
                <w:rFonts w:ascii="Cambria Math" w:hAnsi="Cambria Math"/>
              </w:rPr>
              <m:t>token</m:t>
            </m:r>
          </m:sub>
        </m:sSub>
        <m:r>
          <w:rPr>
            <w:rFonts w:ascii="Cambria Math" w:hAnsi="Cambria Math"/>
          </w:rPr>
          <m:t>=64</m:t>
        </m:r>
      </m:oMath>
      <w:r w:rsidR="006B77D8">
        <w:t xml:space="preserve">, a linear embedding layer with size </w:t>
      </w:r>
      <m:oMath>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×64</m:t>
        </m:r>
      </m:oMath>
      <w:r w:rsidR="006B77D8">
        <w:t xml:space="preserve"> is used, but different from that of 2x8 array; for 2x4 array, considering </w:t>
      </w:r>
      <m:oMath>
        <m:sSub>
          <m:sSubPr>
            <m:ctrlPr>
              <w:rPr>
                <w:rFonts w:ascii="Cambria Math" w:hAnsi="Cambria Math"/>
                <w:i/>
              </w:rPr>
            </m:ctrlPr>
          </m:sSubPr>
          <m:e>
            <m:r>
              <w:rPr>
                <w:rFonts w:ascii="Cambria Math" w:hAnsi="Cambria Math"/>
              </w:rPr>
              <m:t>d</m:t>
            </m:r>
          </m:e>
          <m:sub>
            <m:r>
              <w:rPr>
                <w:rFonts w:ascii="Cambria Math" w:hAnsi="Cambria Math"/>
              </w:rPr>
              <m:t>token</m:t>
            </m:r>
          </m:sub>
        </m:sSub>
        <m:r>
          <w:rPr>
            <w:rFonts w:ascii="Cambria Math" w:hAnsi="Cambria Math"/>
          </w:rPr>
          <m:t>=32</m:t>
        </m:r>
      </m:oMath>
      <w:r w:rsidR="006B77D8">
        <w:t xml:space="preserve">, a linear embedding layer with size </w:t>
      </w:r>
      <m:oMath>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×32</m:t>
        </m:r>
      </m:oMath>
      <w:r w:rsidR="006B77D8">
        <w:t xml:space="preserve"> is used</w:t>
      </w:r>
      <w:r w:rsidR="00677426">
        <w:t>.</w:t>
      </w:r>
    </w:p>
    <w:p w14:paraId="78B2CB4D" w14:textId="77777777" w:rsidR="00175B4C" w:rsidRDefault="00677426" w:rsidP="004A2378">
      <w:pPr>
        <w:pStyle w:val="ListParagraph"/>
        <w:numPr>
          <w:ilvl w:val="0"/>
          <w:numId w:val="18"/>
        </w:numPr>
        <w:contextualSpacing w:val="0"/>
      </w:pPr>
      <w:r>
        <w:t xml:space="preserve">Alt2 </w:t>
      </w:r>
      <w:r w:rsidR="00BD09EC">
        <w:t xml:space="preserve">common embedding layer for each feature size: </w:t>
      </w:r>
      <w:r w:rsidR="0077361C">
        <w:t xml:space="preserve">a common embedding layer with size </w:t>
      </w:r>
      <m:oMath>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×64</m:t>
        </m:r>
      </m:oMath>
      <w:r w:rsidR="0077361C">
        <w:t xml:space="preserve"> is used for all antenna setups</w:t>
      </w:r>
      <w:r w:rsidR="00175B4C">
        <w:t xml:space="preserve"> (with same parameters)</w:t>
      </w:r>
      <w:r w:rsidR="0077361C">
        <w:t>.</w:t>
      </w:r>
      <w:r w:rsidR="00175B4C">
        <w:t xml:space="preserve"> In this case, 2x4 can be padded to either 2x8 or 4x4.</w:t>
      </w:r>
    </w:p>
    <w:p w14:paraId="63FC37FE" w14:textId="38427F1A" w:rsidR="00677426" w:rsidRDefault="00175B4C" w:rsidP="004A2378">
      <w:pPr>
        <w:pStyle w:val="ListParagraph"/>
        <w:numPr>
          <w:ilvl w:val="0"/>
          <w:numId w:val="18"/>
        </w:numPr>
        <w:contextualSpacing w:val="0"/>
      </w:pPr>
      <w:r>
        <w:t xml:space="preserve">Alt1 + Alt2: </w:t>
      </w:r>
      <w:r w:rsidR="00376549">
        <w:t xml:space="preserve">specific embedding layer for array 2x4 with size </w:t>
      </w:r>
      <m:oMath>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×32</m:t>
        </m:r>
      </m:oMath>
      <w:r w:rsidR="00376549">
        <w:t xml:space="preserve">. Array 2x8 and 4x4 share same </w:t>
      </w:r>
      <w:r w:rsidR="00E06E11">
        <w:t xml:space="preserve">embedding layer with same parameters with size </w:t>
      </w:r>
      <m:oMath>
        <m:sSub>
          <m:sSubPr>
            <m:ctrlPr>
              <w:rPr>
                <w:rFonts w:ascii="Cambria Math" w:hAnsi="Cambria Math"/>
                <w:i/>
              </w:rPr>
            </m:ctrlPr>
          </m:sSubPr>
          <m:e>
            <m:r>
              <w:rPr>
                <w:rFonts w:ascii="Cambria Math" w:hAnsi="Cambria Math"/>
              </w:rPr>
              <m:t>N</m:t>
            </m:r>
          </m:e>
          <m:sub>
            <m:r>
              <w:rPr>
                <w:rFonts w:ascii="Cambria Math" w:hAnsi="Cambria Math"/>
              </w:rPr>
              <m:t>token</m:t>
            </m:r>
          </m:sub>
        </m:sSub>
        <m:r>
          <w:rPr>
            <w:rFonts w:ascii="Cambria Math" w:hAnsi="Cambria Math"/>
          </w:rPr>
          <m:t>×64</m:t>
        </m:r>
      </m:oMath>
      <w:r w:rsidR="00E06E11">
        <w:t>. In this case, 2x4 can be padded to either 2x8 or 4x4.</w:t>
      </w:r>
    </w:p>
    <w:p w14:paraId="535130BB" w14:textId="7C31DF66" w:rsidR="00C3103F" w:rsidRDefault="00C3103F" w:rsidP="00C3103F">
      <w:r>
        <w:t>The results are shown in</w:t>
      </w:r>
      <w:r w:rsidR="003013C6">
        <w:t xml:space="preserve"> </w:t>
      </w:r>
      <w:r w:rsidR="003013C6">
        <w:fldChar w:fldCharType="begin"/>
      </w:r>
      <w:r w:rsidR="003013C6">
        <w:instrText xml:space="preserve"> REF _Ref193979989 \h </w:instrText>
      </w:r>
      <w:r w:rsidR="003013C6">
        <w:fldChar w:fldCharType="separate"/>
      </w:r>
      <w:r w:rsidR="00631423">
        <w:t xml:space="preserve">Figure </w:t>
      </w:r>
      <w:r w:rsidR="00631423">
        <w:rPr>
          <w:noProof/>
        </w:rPr>
        <w:t>3</w:t>
      </w:r>
      <w:r w:rsidR="00631423">
        <w:noBreakHyphen/>
      </w:r>
      <w:r w:rsidR="00631423">
        <w:rPr>
          <w:noProof/>
        </w:rPr>
        <w:t>2</w:t>
      </w:r>
      <w:r w:rsidR="003013C6">
        <w:fldChar w:fldCharType="end"/>
      </w:r>
      <w:r>
        <w:t xml:space="preserve">. In this case, </w:t>
      </w:r>
      <w:r w:rsidR="00DE6F73">
        <w:t xml:space="preserve">we consider </w:t>
      </w:r>
      <m:oMath>
        <m:sSub>
          <m:sSubPr>
            <m:ctrlPr>
              <w:rPr>
                <w:rFonts w:ascii="Cambria Math" w:hAnsi="Cambria Math"/>
                <w:i/>
              </w:rPr>
            </m:ctrlPr>
          </m:sSubPr>
          <m:e>
            <m:r>
              <w:rPr>
                <w:rFonts w:ascii="Cambria Math" w:hAnsi="Cambria Math"/>
              </w:rPr>
              <m:t>z</m:t>
            </m:r>
          </m:e>
          <m:sub>
            <m:r>
              <w:rPr>
                <w:rFonts w:ascii="Cambria Math" w:hAnsi="Cambria Math"/>
              </w:rPr>
              <m:t>dim</m:t>
            </m:r>
          </m:sub>
        </m:sSub>
        <m:r>
          <w:rPr>
            <w:rFonts w:ascii="Cambria Math" w:hAnsi="Cambria Math"/>
          </w:rPr>
          <m:t>=64</m:t>
        </m:r>
      </m:oMath>
      <w:r w:rsidR="00ED2B3F">
        <w:t xml:space="preserve"> and VQ</w:t>
      </w:r>
      <w:r w:rsidR="00A936A9">
        <w:t xml:space="preserve"> with </w:t>
      </w:r>
      <m:oMath>
        <m:sSub>
          <m:sSubPr>
            <m:ctrlPr>
              <w:rPr>
                <w:rFonts w:ascii="Cambria Math" w:hAnsi="Cambria Math"/>
                <w:i/>
              </w:rPr>
            </m:ctrlPr>
          </m:sSubPr>
          <m:e>
            <m:r>
              <w:rPr>
                <w:rFonts w:ascii="Cambria Math" w:hAnsi="Cambria Math"/>
              </w:rPr>
              <m:t>N</m:t>
            </m:r>
          </m:e>
          <m:sub>
            <m:r>
              <w:rPr>
                <w:rFonts w:ascii="Cambria Math" w:hAnsi="Cambria Math"/>
              </w:rPr>
              <m:t>seg</m:t>
            </m:r>
          </m:sub>
        </m:sSub>
        <m:r>
          <w:rPr>
            <w:rFonts w:ascii="Cambria Math" w:hAnsi="Cambria Math"/>
          </w:rPr>
          <m:t>=16</m:t>
        </m:r>
      </m:oMath>
      <w:r w:rsidR="00A936A9">
        <w:t>,</w:t>
      </w:r>
      <w:r w:rsidR="003948CB">
        <w:t xml:space="preserve"> bits per entry</w:t>
      </w:r>
      <w:r w:rsidR="00A936A9">
        <w:t xml:space="preserve"> </w:t>
      </w:r>
      <m:oMath>
        <m:sSub>
          <m:sSubPr>
            <m:ctrlPr>
              <w:rPr>
                <w:rFonts w:ascii="Cambria Math" w:hAnsi="Cambria Math"/>
                <w:i/>
              </w:rPr>
            </m:ctrlPr>
          </m:sSubPr>
          <m:e>
            <m:r>
              <w:rPr>
                <w:rFonts w:ascii="Cambria Math" w:hAnsi="Cambria Math"/>
              </w:rPr>
              <m:t>N</m:t>
            </m:r>
          </m:e>
          <m:sub>
            <m:r>
              <w:rPr>
                <w:rFonts w:ascii="Cambria Math" w:hAnsi="Cambria Math"/>
              </w:rPr>
              <m:t>bit</m:t>
            </m:r>
          </m:sub>
        </m:sSub>
        <m:r>
          <w:rPr>
            <w:rFonts w:ascii="Cambria Math" w:hAnsi="Cambria Math"/>
          </w:rPr>
          <m:t>=2</m:t>
        </m:r>
      </m:oMath>
      <w:r w:rsidR="003948CB">
        <w:t xml:space="preserve">, bits per segment </w:t>
      </w:r>
      <w:r w:rsidR="001111EC">
        <w:t>8</w:t>
      </w:r>
      <w:r w:rsidR="007730AD">
        <w:t>, total payload = 128 bits.</w:t>
      </w:r>
      <w:r>
        <w:t xml:space="preserve"> It can be seen that all schemes achieve marginal to minor loss to the performance upper-bound (specific model design). Scheme 3 with specific linear layer outperforms zero-paddings and achieve almost same performance as the upper-bound.</w:t>
      </w:r>
    </w:p>
    <w:p w14:paraId="6CC764C0" w14:textId="77777777" w:rsidR="00C3103F" w:rsidRPr="008637D5" w:rsidRDefault="00C3103F" w:rsidP="00C3103F">
      <w:pPr>
        <w:pStyle w:val="Observation"/>
        <w:rPr>
          <w:rFonts w:eastAsia="SimSun" w:cs="Times"/>
          <w:lang w:eastAsia="x-none"/>
        </w:rPr>
      </w:pPr>
      <w:bookmarkStart w:id="13" w:name="_Ref194071964"/>
      <w:r w:rsidRPr="008637D5">
        <w:rPr>
          <w:rFonts w:eastAsia="SimSun" w:cs="Times"/>
          <w:lang w:eastAsia="x-none"/>
        </w:rPr>
        <w:t>Specific linear embedding and zero-padding achieve good scalability performance for antenna port configurations</w:t>
      </w:r>
      <w:r>
        <w:rPr>
          <w:rFonts w:eastAsia="SimSun" w:cs="Times"/>
          <w:lang w:eastAsia="x-none"/>
        </w:rPr>
        <w:t xml:space="preserve"> with marginal loss relative to specific model development</w:t>
      </w:r>
      <w:r w:rsidRPr="008637D5">
        <w:rPr>
          <w:rFonts w:eastAsia="SimSun" w:cs="Times"/>
          <w:lang w:eastAsia="x-none"/>
        </w:rPr>
        <w:t>. Specific linear embedding slightly outperforms zero-padding.</w:t>
      </w:r>
      <w:bookmarkEnd w:id="13"/>
    </w:p>
    <w:p w14:paraId="38710C64" w14:textId="77777777" w:rsidR="00C3103F" w:rsidRDefault="00C3103F" w:rsidP="00C3103F">
      <w:pPr>
        <w:keepNext/>
        <w:jc w:val="center"/>
      </w:pPr>
      <w:r>
        <w:rPr>
          <w:noProof/>
        </w:rPr>
        <w:lastRenderedPageBreak/>
        <w:drawing>
          <wp:inline distT="0" distB="0" distL="0" distR="0" wp14:anchorId="5013F2FC" wp14:editId="02CA6063">
            <wp:extent cx="5026025" cy="3295650"/>
            <wp:effectExtent l="0" t="0" r="3175" b="0"/>
            <wp:docPr id="399932049" name="Chart 1">
              <a:extLst xmlns:a="http://schemas.openxmlformats.org/drawingml/2006/main">
                <a:ext uri="{FF2B5EF4-FFF2-40B4-BE49-F238E27FC236}">
                  <a16:creationId xmlns:a16="http://schemas.microsoft.com/office/drawing/2014/main" id="{696C86E3-2157-638F-AC72-B0ED74D1D1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3F52EDE" w14:textId="02FE427D" w:rsidR="00C3103F" w:rsidRDefault="00C3103F" w:rsidP="00C3103F">
      <w:pPr>
        <w:pStyle w:val="Caption"/>
      </w:pPr>
      <w:bookmarkStart w:id="14" w:name="_Ref193979989"/>
      <w:r>
        <w:t xml:space="preserve">Figure </w:t>
      </w:r>
      <w:r w:rsidR="00D67F58">
        <w:fldChar w:fldCharType="begin"/>
      </w:r>
      <w:r w:rsidR="00D67F58">
        <w:instrText xml:space="preserve"> STYLEREF 1 \s </w:instrText>
      </w:r>
      <w:r w:rsidR="00D67F58">
        <w:fldChar w:fldCharType="separate"/>
      </w:r>
      <w:r w:rsidR="00631423">
        <w:rPr>
          <w:noProof/>
        </w:rPr>
        <w:t>3</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2</w:t>
      </w:r>
      <w:r w:rsidR="00D67F58">
        <w:fldChar w:fldCharType="end"/>
      </w:r>
      <w:bookmarkEnd w:id="14"/>
      <w:r>
        <w:t>. Evaluation results on antenna port scalability achieved by various schemes.</w:t>
      </w:r>
    </w:p>
    <w:p w14:paraId="308D2E94" w14:textId="78667D27" w:rsidR="009B4E73" w:rsidRDefault="0037072E" w:rsidP="009B4E73">
      <w:r w:rsidRPr="00650D93">
        <w:rPr>
          <w:b/>
          <w:bCs/>
          <w:u w:val="single"/>
        </w:rPr>
        <w:t>For scalability over</w:t>
      </w:r>
      <w:r w:rsidR="00650D93" w:rsidRPr="00650D93">
        <w:rPr>
          <w:b/>
          <w:bCs/>
          <w:u w:val="single"/>
        </w:rPr>
        <w:t xml:space="preserve"> token dimensions, i.e.,</w:t>
      </w:r>
      <w:r w:rsidR="009B4E73" w:rsidRPr="00650D93">
        <w:rPr>
          <w:b/>
          <w:bCs/>
          <w:u w:val="single"/>
        </w:rPr>
        <w:t xml:space="preserve"> subband configurations</w:t>
      </w:r>
      <w:r w:rsidR="009B4E73" w:rsidRPr="00DF31B8">
        <w:rPr>
          <w:b/>
          <w:bCs/>
          <w:u w:val="single"/>
        </w:rPr>
        <w:t xml:space="preserve">, we </w:t>
      </w:r>
      <w:r w:rsidR="00A66543" w:rsidRPr="00DF31B8">
        <w:rPr>
          <w:b/>
          <w:bCs/>
          <w:u w:val="single"/>
        </w:rPr>
        <w:t>adopt Alt1 as agreed in the last meeting</w:t>
      </w:r>
      <w:r w:rsidR="00A66543">
        <w:t>, i.e., using</w:t>
      </w:r>
      <w:r w:rsidR="009B4E73">
        <w:t xml:space="preserve"> respective entries of positional embedding layer according to the subband indices</w:t>
      </w:r>
      <w:r w:rsidR="00A66543">
        <w:t xml:space="preserve"> and zero-padding at the TF output</w:t>
      </w:r>
      <w:r w:rsidR="009B4E73">
        <w:t xml:space="preserve">. For examples, if subband indices are {1, 2, 3, 4, 5, 6}, then only the first 6 rows of the positional embedding </w:t>
      </w:r>
      <w:r w:rsidR="00F152B2">
        <w:t>are</w:t>
      </w:r>
      <w:r w:rsidR="009B4E73">
        <w:t xml:space="preserve"> used. Moreover, zero-padding is performed to the output of transformer blocks to align the size to be max number of subbands. In the previous example, zeros are padded to the position of remaining 13 subbands.</w:t>
      </w:r>
    </w:p>
    <w:p w14:paraId="44409E35" w14:textId="75B54F39" w:rsidR="00F152B2" w:rsidRDefault="00F152B2" w:rsidP="00F152B2">
      <w:r>
        <w:t xml:space="preserve">In the </w:t>
      </w:r>
      <w:r w:rsidRPr="00F152B2">
        <w:t>evaluation, we consider a model designed with max number of subbands being 12. During training, two compression tasks are considered. The first task is performed for all the 12 subbands, and the second task is performed for 6 contiguous subbands which is randomly selected</w:t>
      </w:r>
      <w:r w:rsidR="00DF31B8">
        <w:t xml:space="preserve">. </w:t>
      </w:r>
      <w:r w:rsidRPr="00F152B2">
        <w:t>The</w:t>
      </w:r>
      <w:r>
        <w:t xml:space="preserve"> evaluation results </w:t>
      </w:r>
      <w:r w:rsidR="00457654">
        <w:t>are</w:t>
      </w:r>
      <w:r>
        <w:t xml:space="preserve"> presented in</w:t>
      </w:r>
      <w:r w:rsidR="003013C6">
        <w:t xml:space="preserve"> </w:t>
      </w:r>
      <w:r w:rsidR="003013C6">
        <w:fldChar w:fldCharType="begin"/>
      </w:r>
      <w:r w:rsidR="003013C6">
        <w:instrText xml:space="preserve"> REF _Ref193980022 \h </w:instrText>
      </w:r>
      <w:r w:rsidR="003013C6">
        <w:fldChar w:fldCharType="separate"/>
      </w:r>
      <w:r w:rsidR="00631423">
        <w:t xml:space="preserve">Table </w:t>
      </w:r>
      <w:r w:rsidR="00631423">
        <w:rPr>
          <w:noProof/>
        </w:rPr>
        <w:t>3</w:t>
      </w:r>
      <w:r w:rsidR="00631423">
        <w:noBreakHyphen/>
      </w:r>
      <w:r w:rsidR="00631423">
        <w:rPr>
          <w:noProof/>
        </w:rPr>
        <w:t>1</w:t>
      </w:r>
      <w:r w:rsidR="003013C6">
        <w:fldChar w:fldCharType="end"/>
      </w:r>
      <w:r>
        <w:t>.</w:t>
      </w:r>
      <w:r w:rsidR="00457654">
        <w:t xml:space="preserve"> Antenna port array assumption is 2x8 and 128 bits payload is considered.</w:t>
      </w:r>
      <w:r>
        <w:t xml:space="preserve"> It can be seen that both full subband compression and subset subband configurations with 6 contiguous subbands achieve good scalability performance (0.6%~1.4% loss). To this end, the transformer needs to be trained with sufficient number of subband configurations in the training phase.</w:t>
      </w:r>
    </w:p>
    <w:p w14:paraId="7E0242C6" w14:textId="5AE8C952" w:rsidR="00F152B2" w:rsidRDefault="00F152B2" w:rsidP="00F152B2">
      <w:pPr>
        <w:pStyle w:val="Caption"/>
        <w:keepNext/>
        <w:spacing w:after="120"/>
      </w:pPr>
      <w:bookmarkStart w:id="15" w:name="_Ref193980022"/>
      <w:r>
        <w:t xml:space="preserve">Table </w:t>
      </w:r>
      <w:r w:rsidR="0070386D">
        <w:fldChar w:fldCharType="begin"/>
      </w:r>
      <w:r w:rsidR="0070386D">
        <w:instrText xml:space="preserve"> STYLEREF 1 \s </w:instrText>
      </w:r>
      <w:r w:rsidR="0070386D">
        <w:fldChar w:fldCharType="separate"/>
      </w:r>
      <w:r w:rsidR="00631423">
        <w:rPr>
          <w:noProof/>
        </w:rPr>
        <w:t>3</w:t>
      </w:r>
      <w:r w:rsidR="0070386D">
        <w:fldChar w:fldCharType="end"/>
      </w:r>
      <w:r w:rsidR="0070386D">
        <w:noBreakHyphen/>
      </w:r>
      <w:r w:rsidR="0070386D">
        <w:fldChar w:fldCharType="begin"/>
      </w:r>
      <w:r w:rsidR="0070386D">
        <w:instrText xml:space="preserve"> SEQ Table \* ARABIC \s 1 </w:instrText>
      </w:r>
      <w:r w:rsidR="0070386D">
        <w:fldChar w:fldCharType="separate"/>
      </w:r>
      <w:r w:rsidR="00631423">
        <w:rPr>
          <w:noProof/>
        </w:rPr>
        <w:t>1</w:t>
      </w:r>
      <w:r w:rsidR="0070386D">
        <w:fldChar w:fldCharType="end"/>
      </w:r>
      <w:bookmarkEnd w:id="15"/>
      <w:r>
        <w:t>. Evaluation results on subband scalability</w:t>
      </w:r>
    </w:p>
    <w:tbl>
      <w:tblPr>
        <w:tblStyle w:val="TableGrid"/>
        <w:tblW w:w="0" w:type="auto"/>
        <w:tblInd w:w="1615" w:type="dxa"/>
        <w:tblLook w:val="04A0" w:firstRow="1" w:lastRow="0" w:firstColumn="1" w:lastColumn="0" w:noHBand="0" w:noVBand="1"/>
      </w:tblPr>
      <w:tblGrid>
        <w:gridCol w:w="2250"/>
        <w:gridCol w:w="1800"/>
        <w:gridCol w:w="2970"/>
      </w:tblGrid>
      <w:tr w:rsidR="00F152B2" w14:paraId="49B26A28" w14:textId="77777777" w:rsidTr="00146666">
        <w:tc>
          <w:tcPr>
            <w:tcW w:w="2250" w:type="dxa"/>
            <w:vAlign w:val="center"/>
          </w:tcPr>
          <w:p w14:paraId="37C898DF" w14:textId="77777777" w:rsidR="00F152B2" w:rsidRDefault="00F152B2">
            <w:pPr>
              <w:spacing w:after="0"/>
              <w:jc w:val="center"/>
            </w:pPr>
            <w:r>
              <w:t>Subband configuration</w:t>
            </w:r>
          </w:p>
        </w:tc>
        <w:tc>
          <w:tcPr>
            <w:tcW w:w="1800" w:type="dxa"/>
            <w:vAlign w:val="center"/>
          </w:tcPr>
          <w:p w14:paraId="248A3B24" w14:textId="77777777" w:rsidR="00F152B2" w:rsidRDefault="00F152B2">
            <w:pPr>
              <w:spacing w:after="0"/>
              <w:jc w:val="center"/>
            </w:pPr>
            <w:r>
              <w:t>SGCS</w:t>
            </w:r>
          </w:p>
          <w:p w14:paraId="259D6F11" w14:textId="248FECDC" w:rsidR="00CD45FB" w:rsidRDefault="00CD45FB">
            <w:pPr>
              <w:spacing w:after="0"/>
              <w:jc w:val="center"/>
            </w:pPr>
            <w:r>
              <w:t>(case 1, Alt1)</w:t>
            </w:r>
          </w:p>
        </w:tc>
        <w:tc>
          <w:tcPr>
            <w:tcW w:w="2970" w:type="dxa"/>
            <w:vAlign w:val="center"/>
          </w:tcPr>
          <w:p w14:paraId="23BAA0AA" w14:textId="4A674696" w:rsidR="00F152B2" w:rsidRDefault="00F152B2">
            <w:pPr>
              <w:spacing w:after="0"/>
              <w:jc w:val="center"/>
            </w:pPr>
            <w:r>
              <w:t>SGCS of benchmark (specific model design</w:t>
            </w:r>
            <w:r w:rsidR="00CD45FB">
              <w:t>, case 2</w:t>
            </w:r>
            <w:r>
              <w:t>)</w:t>
            </w:r>
          </w:p>
        </w:tc>
      </w:tr>
      <w:tr w:rsidR="00F152B2" w14:paraId="6BFD3D1D" w14:textId="77777777" w:rsidTr="00146666">
        <w:tc>
          <w:tcPr>
            <w:tcW w:w="2250" w:type="dxa"/>
            <w:vAlign w:val="center"/>
          </w:tcPr>
          <w:p w14:paraId="5C9F568C" w14:textId="77777777" w:rsidR="00F152B2" w:rsidRDefault="00F152B2">
            <w:pPr>
              <w:spacing w:after="0"/>
              <w:jc w:val="center"/>
            </w:pPr>
            <w:r>
              <w:t>1 to 12</w:t>
            </w:r>
          </w:p>
        </w:tc>
        <w:tc>
          <w:tcPr>
            <w:tcW w:w="1800" w:type="dxa"/>
            <w:vAlign w:val="center"/>
          </w:tcPr>
          <w:p w14:paraId="67C826C7" w14:textId="77777777" w:rsidR="00F152B2" w:rsidRPr="009C44C3" w:rsidRDefault="00F152B2">
            <w:pPr>
              <w:spacing w:after="0"/>
              <w:jc w:val="center"/>
              <w:rPr>
                <w:lang w:val="en-US"/>
              </w:rPr>
            </w:pPr>
            <w:r w:rsidRPr="009C44C3">
              <w:rPr>
                <w:lang w:val="en-US"/>
              </w:rPr>
              <w:t>0.807 (-0.6%)</w:t>
            </w:r>
          </w:p>
        </w:tc>
        <w:tc>
          <w:tcPr>
            <w:tcW w:w="2970" w:type="dxa"/>
            <w:vAlign w:val="center"/>
          </w:tcPr>
          <w:p w14:paraId="04848C0B" w14:textId="77777777" w:rsidR="00F152B2" w:rsidRPr="009C44C3" w:rsidRDefault="00F152B2">
            <w:pPr>
              <w:spacing w:after="0"/>
              <w:jc w:val="center"/>
              <w:rPr>
                <w:lang w:val="en-US"/>
              </w:rPr>
            </w:pPr>
            <w:r w:rsidRPr="009C44C3">
              <w:rPr>
                <w:lang w:val="en-US"/>
              </w:rPr>
              <w:t>0.812</w:t>
            </w:r>
          </w:p>
        </w:tc>
      </w:tr>
      <w:tr w:rsidR="00F152B2" w14:paraId="124954FF" w14:textId="77777777" w:rsidTr="00146666">
        <w:tc>
          <w:tcPr>
            <w:tcW w:w="2250" w:type="dxa"/>
            <w:vAlign w:val="center"/>
          </w:tcPr>
          <w:p w14:paraId="6D1E676F" w14:textId="77777777" w:rsidR="00F152B2" w:rsidRDefault="00F152B2">
            <w:pPr>
              <w:spacing w:after="0"/>
              <w:jc w:val="center"/>
            </w:pPr>
            <w:r>
              <w:t>1 to 6</w:t>
            </w:r>
          </w:p>
        </w:tc>
        <w:tc>
          <w:tcPr>
            <w:tcW w:w="1800" w:type="dxa"/>
            <w:vAlign w:val="center"/>
          </w:tcPr>
          <w:p w14:paraId="42730EBA" w14:textId="77777777" w:rsidR="00F152B2" w:rsidRPr="009C44C3" w:rsidRDefault="00F152B2">
            <w:pPr>
              <w:spacing w:after="0"/>
              <w:jc w:val="center"/>
              <w:rPr>
                <w:lang w:val="en-US"/>
              </w:rPr>
            </w:pPr>
            <w:r w:rsidRPr="009C44C3">
              <w:rPr>
                <w:lang w:val="en-US"/>
              </w:rPr>
              <w:t>0.854 (-1.4%)</w:t>
            </w:r>
          </w:p>
        </w:tc>
        <w:tc>
          <w:tcPr>
            <w:tcW w:w="2970" w:type="dxa"/>
            <w:vAlign w:val="center"/>
          </w:tcPr>
          <w:p w14:paraId="5308C3B8" w14:textId="77777777" w:rsidR="00F152B2" w:rsidRDefault="00F152B2">
            <w:pPr>
              <w:spacing w:after="0"/>
              <w:jc w:val="center"/>
            </w:pPr>
            <w:r>
              <w:t>0.866</w:t>
            </w:r>
          </w:p>
        </w:tc>
      </w:tr>
      <w:tr w:rsidR="00F152B2" w14:paraId="38E24FCF" w14:textId="77777777" w:rsidTr="00146666">
        <w:tc>
          <w:tcPr>
            <w:tcW w:w="2250" w:type="dxa"/>
            <w:vAlign w:val="center"/>
          </w:tcPr>
          <w:p w14:paraId="224E6460" w14:textId="77777777" w:rsidR="00F152B2" w:rsidRDefault="00F152B2">
            <w:pPr>
              <w:spacing w:after="0"/>
              <w:jc w:val="center"/>
            </w:pPr>
            <w:r>
              <w:t>2 to 7</w:t>
            </w:r>
          </w:p>
        </w:tc>
        <w:tc>
          <w:tcPr>
            <w:tcW w:w="1800" w:type="dxa"/>
            <w:vAlign w:val="center"/>
          </w:tcPr>
          <w:p w14:paraId="346D7105" w14:textId="77777777" w:rsidR="00F152B2" w:rsidRDefault="00F152B2">
            <w:pPr>
              <w:spacing w:after="0"/>
              <w:jc w:val="center"/>
            </w:pPr>
            <w:r>
              <w:t>0.855</w:t>
            </w:r>
          </w:p>
        </w:tc>
        <w:tc>
          <w:tcPr>
            <w:tcW w:w="2970" w:type="dxa"/>
            <w:vAlign w:val="center"/>
          </w:tcPr>
          <w:p w14:paraId="6595A4DB" w14:textId="77777777" w:rsidR="00F152B2" w:rsidRDefault="00F152B2">
            <w:pPr>
              <w:spacing w:after="0"/>
              <w:jc w:val="center"/>
            </w:pPr>
          </w:p>
        </w:tc>
      </w:tr>
      <w:tr w:rsidR="00F152B2" w14:paraId="73E458C7" w14:textId="77777777" w:rsidTr="00146666">
        <w:tc>
          <w:tcPr>
            <w:tcW w:w="2250" w:type="dxa"/>
            <w:vAlign w:val="center"/>
          </w:tcPr>
          <w:p w14:paraId="5D1C8167" w14:textId="77777777" w:rsidR="00F152B2" w:rsidRDefault="00F152B2">
            <w:pPr>
              <w:spacing w:after="0"/>
              <w:jc w:val="center"/>
            </w:pPr>
            <w:r>
              <w:t>3 to 8</w:t>
            </w:r>
          </w:p>
        </w:tc>
        <w:tc>
          <w:tcPr>
            <w:tcW w:w="1800" w:type="dxa"/>
            <w:vAlign w:val="center"/>
          </w:tcPr>
          <w:p w14:paraId="299D3804" w14:textId="77777777" w:rsidR="00F152B2" w:rsidRDefault="00F152B2">
            <w:pPr>
              <w:spacing w:after="0"/>
              <w:jc w:val="center"/>
            </w:pPr>
            <w:r>
              <w:t>0.855</w:t>
            </w:r>
          </w:p>
        </w:tc>
        <w:tc>
          <w:tcPr>
            <w:tcW w:w="2970" w:type="dxa"/>
            <w:vAlign w:val="center"/>
          </w:tcPr>
          <w:p w14:paraId="0F7AC500" w14:textId="77777777" w:rsidR="00F152B2" w:rsidRDefault="00F152B2">
            <w:pPr>
              <w:spacing w:after="0"/>
              <w:jc w:val="center"/>
            </w:pPr>
          </w:p>
        </w:tc>
      </w:tr>
      <w:tr w:rsidR="00F152B2" w14:paraId="4407B330" w14:textId="77777777" w:rsidTr="00146666">
        <w:tc>
          <w:tcPr>
            <w:tcW w:w="2250" w:type="dxa"/>
            <w:vAlign w:val="center"/>
          </w:tcPr>
          <w:p w14:paraId="1A2ECAF3" w14:textId="77777777" w:rsidR="00F152B2" w:rsidRDefault="00F152B2">
            <w:pPr>
              <w:spacing w:after="0"/>
              <w:jc w:val="center"/>
            </w:pPr>
            <w:r>
              <w:t>4 to 9</w:t>
            </w:r>
          </w:p>
        </w:tc>
        <w:tc>
          <w:tcPr>
            <w:tcW w:w="1800" w:type="dxa"/>
            <w:vAlign w:val="center"/>
          </w:tcPr>
          <w:p w14:paraId="102C7B1C" w14:textId="77777777" w:rsidR="00F152B2" w:rsidRDefault="00F152B2">
            <w:pPr>
              <w:spacing w:after="0"/>
              <w:jc w:val="center"/>
            </w:pPr>
            <w:r>
              <w:t>0.855</w:t>
            </w:r>
          </w:p>
        </w:tc>
        <w:tc>
          <w:tcPr>
            <w:tcW w:w="2970" w:type="dxa"/>
            <w:vAlign w:val="center"/>
          </w:tcPr>
          <w:p w14:paraId="157BA8CE" w14:textId="77777777" w:rsidR="00F152B2" w:rsidRDefault="00F152B2">
            <w:pPr>
              <w:spacing w:after="0"/>
              <w:jc w:val="center"/>
            </w:pPr>
          </w:p>
        </w:tc>
      </w:tr>
      <w:tr w:rsidR="00F152B2" w14:paraId="4439A863" w14:textId="77777777" w:rsidTr="00146666">
        <w:tc>
          <w:tcPr>
            <w:tcW w:w="2250" w:type="dxa"/>
            <w:vAlign w:val="center"/>
          </w:tcPr>
          <w:p w14:paraId="767215CC" w14:textId="77777777" w:rsidR="00F152B2" w:rsidRDefault="00F152B2">
            <w:pPr>
              <w:spacing w:after="0"/>
              <w:jc w:val="center"/>
            </w:pPr>
            <w:r>
              <w:t>5 to 10</w:t>
            </w:r>
          </w:p>
        </w:tc>
        <w:tc>
          <w:tcPr>
            <w:tcW w:w="1800" w:type="dxa"/>
            <w:vAlign w:val="center"/>
          </w:tcPr>
          <w:p w14:paraId="11BB1964" w14:textId="77777777" w:rsidR="00F152B2" w:rsidRDefault="00F152B2">
            <w:pPr>
              <w:spacing w:after="0"/>
              <w:jc w:val="center"/>
            </w:pPr>
            <w:r>
              <w:t>0.854</w:t>
            </w:r>
          </w:p>
        </w:tc>
        <w:tc>
          <w:tcPr>
            <w:tcW w:w="2970" w:type="dxa"/>
            <w:vAlign w:val="center"/>
          </w:tcPr>
          <w:p w14:paraId="51C9C28E" w14:textId="77777777" w:rsidR="00F152B2" w:rsidRDefault="00F152B2">
            <w:pPr>
              <w:spacing w:after="0"/>
              <w:jc w:val="center"/>
            </w:pPr>
          </w:p>
        </w:tc>
      </w:tr>
      <w:tr w:rsidR="00F152B2" w14:paraId="57BC5843" w14:textId="77777777" w:rsidTr="00146666">
        <w:tc>
          <w:tcPr>
            <w:tcW w:w="2250" w:type="dxa"/>
            <w:vAlign w:val="center"/>
          </w:tcPr>
          <w:p w14:paraId="72FDBFE5" w14:textId="77777777" w:rsidR="00F152B2" w:rsidRDefault="00F152B2">
            <w:pPr>
              <w:spacing w:after="0"/>
              <w:jc w:val="center"/>
            </w:pPr>
            <w:r>
              <w:t>6 to 11</w:t>
            </w:r>
          </w:p>
        </w:tc>
        <w:tc>
          <w:tcPr>
            <w:tcW w:w="1800" w:type="dxa"/>
            <w:vAlign w:val="center"/>
          </w:tcPr>
          <w:p w14:paraId="0BB79D8B" w14:textId="77777777" w:rsidR="00F152B2" w:rsidRDefault="00F152B2">
            <w:pPr>
              <w:spacing w:after="0"/>
              <w:jc w:val="center"/>
            </w:pPr>
            <w:r>
              <w:t>0.854</w:t>
            </w:r>
          </w:p>
        </w:tc>
        <w:tc>
          <w:tcPr>
            <w:tcW w:w="2970" w:type="dxa"/>
            <w:vAlign w:val="center"/>
          </w:tcPr>
          <w:p w14:paraId="1E239FF6" w14:textId="77777777" w:rsidR="00F152B2" w:rsidRDefault="00F152B2">
            <w:pPr>
              <w:spacing w:after="0"/>
              <w:jc w:val="center"/>
            </w:pPr>
          </w:p>
        </w:tc>
      </w:tr>
    </w:tbl>
    <w:p w14:paraId="6F92EF82" w14:textId="77777777" w:rsidR="00F152B2" w:rsidRPr="00F152B2" w:rsidRDefault="00F152B2" w:rsidP="00D55183">
      <w:pPr>
        <w:pStyle w:val="Observation"/>
        <w:rPr>
          <w:rFonts w:eastAsia="SimSun" w:cs="Times"/>
          <w:lang w:eastAsia="x-none"/>
        </w:rPr>
      </w:pPr>
      <w:bookmarkStart w:id="16" w:name="_Ref194071978"/>
      <w:r w:rsidRPr="00F152B2">
        <w:rPr>
          <w:rFonts w:eastAsia="SimSun" w:cs="Times"/>
          <w:lang w:eastAsia="x-none"/>
        </w:rPr>
        <w:t>Transformer with proper positional embedding and zero-padding achieve good generalization performance (with marginal loss relative to specific model development) if sufficient compression tasks are considered in the training phase.</w:t>
      </w:r>
      <w:bookmarkEnd w:id="16"/>
    </w:p>
    <w:p w14:paraId="3340BD9B" w14:textId="313114F1" w:rsidR="009B4E73" w:rsidRDefault="00DF31B8" w:rsidP="009B4E73">
      <w:r w:rsidRPr="00146666">
        <w:rPr>
          <w:b/>
          <w:bCs/>
          <w:u w:val="single"/>
        </w:rPr>
        <w:lastRenderedPageBreak/>
        <w:t>For scalability over</w:t>
      </w:r>
      <w:r w:rsidR="009B4E73" w:rsidRPr="00146666">
        <w:rPr>
          <w:b/>
          <w:bCs/>
          <w:u w:val="single"/>
        </w:rPr>
        <w:t xml:space="preserve"> payload configurations, for each specific payload, we </w:t>
      </w:r>
      <w:r w:rsidR="00491CA2" w:rsidRPr="00146666">
        <w:rPr>
          <w:b/>
          <w:bCs/>
          <w:u w:val="single"/>
        </w:rPr>
        <w:t xml:space="preserve">adopt Alt1 </w:t>
      </w:r>
      <w:r w:rsidR="00872C7B">
        <w:rPr>
          <w:b/>
          <w:bCs/>
          <w:u w:val="single"/>
        </w:rPr>
        <w:t>+</w:t>
      </w:r>
      <w:r w:rsidR="00872C7B" w:rsidRPr="00146666">
        <w:rPr>
          <w:b/>
          <w:bCs/>
          <w:u w:val="single"/>
        </w:rPr>
        <w:t xml:space="preserve"> </w:t>
      </w:r>
      <w:r w:rsidR="00491CA2" w:rsidRPr="00146666">
        <w:rPr>
          <w:b/>
          <w:bCs/>
          <w:u w:val="single"/>
        </w:rPr>
        <w:t xml:space="preserve">Alt3 </w:t>
      </w:r>
      <w:r w:rsidR="00C40575" w:rsidRPr="00146666">
        <w:rPr>
          <w:b/>
          <w:bCs/>
          <w:u w:val="single"/>
        </w:rPr>
        <w:t xml:space="preserve">as agreed in the last meeting </w:t>
      </w:r>
      <w:r w:rsidR="00491CA2" w:rsidRPr="00146666">
        <w:rPr>
          <w:b/>
          <w:bCs/>
          <w:u w:val="single"/>
        </w:rPr>
        <w:t>in conjunction</w:t>
      </w:r>
      <w:r w:rsidR="00C40575" w:rsidRPr="00146666">
        <w:rPr>
          <w:b/>
          <w:bCs/>
          <w:u w:val="single"/>
        </w:rPr>
        <w:t>.</w:t>
      </w:r>
      <w:r w:rsidR="00C40575">
        <w:t xml:space="preserve"> In other words, we</w:t>
      </w:r>
      <w:r w:rsidR="00491CA2">
        <w:t xml:space="preserve"> </w:t>
      </w:r>
      <w:r w:rsidR="009B4E73">
        <w:t xml:space="preserve">employ specific linear compression layers followed by specific vector quantizer at the end of the encoder. Each linear compression layer is designed to with input size of max number of subbands * dimension of transformer model, and output size of a particular latent dimension. </w:t>
      </w:r>
    </w:p>
    <w:p w14:paraId="3759CC8C" w14:textId="683D88CF" w:rsidR="00FC238F" w:rsidRDefault="00FC238F" w:rsidP="004A2378">
      <w:pPr>
        <w:pStyle w:val="ListParagraph"/>
        <w:numPr>
          <w:ilvl w:val="0"/>
          <w:numId w:val="17"/>
        </w:numPr>
        <w:contextualSpacing w:val="0"/>
      </w:pPr>
      <w:r w:rsidRPr="009B4C31">
        <w:t xml:space="preserve">The first linear compression layer compresses the latent to dimension of </w:t>
      </w:r>
      <m:oMath>
        <m:sSub>
          <m:sSubPr>
            <m:ctrlPr>
              <w:rPr>
                <w:rFonts w:ascii="Cambria Math" w:hAnsi="Cambria Math"/>
                <w:i/>
              </w:rPr>
            </m:ctrlPr>
          </m:sSubPr>
          <m:e>
            <m:r>
              <w:rPr>
                <w:rFonts w:ascii="Cambria Math" w:hAnsi="Cambria Math"/>
              </w:rPr>
              <m:t>z</m:t>
            </m:r>
          </m:e>
          <m:sub>
            <m:r>
              <w:rPr>
                <w:rFonts w:ascii="Cambria Math" w:hAnsi="Cambria Math"/>
              </w:rPr>
              <m:t>dim</m:t>
            </m:r>
          </m:sub>
        </m:sSub>
        <m:r>
          <w:rPr>
            <w:rFonts w:ascii="Cambria Math" w:hAnsi="Cambria Math"/>
          </w:rPr>
          <m:t>=64</m:t>
        </m:r>
      </m:oMath>
      <w:r w:rsidRPr="009B4C31">
        <w:t>. The following vector quantizer is designed with 4-entries per segmentation and 8-bit per segmentation</w:t>
      </w:r>
      <w:r w:rsidR="006832EE">
        <w:t xml:space="preserve">, i.e., </w:t>
      </w:r>
      <m:oMath>
        <m:sSub>
          <m:sSubPr>
            <m:ctrlPr>
              <w:rPr>
                <w:rFonts w:ascii="Cambria Math" w:hAnsi="Cambria Math"/>
                <w:i/>
              </w:rPr>
            </m:ctrlPr>
          </m:sSubPr>
          <m:e>
            <m:r>
              <w:rPr>
                <w:rFonts w:ascii="Cambria Math" w:hAnsi="Cambria Math"/>
              </w:rPr>
              <m:t>N</m:t>
            </m:r>
          </m:e>
          <m:sub>
            <m:r>
              <w:rPr>
                <w:rFonts w:ascii="Cambria Math" w:hAnsi="Cambria Math"/>
              </w:rPr>
              <m:t>seg</m:t>
            </m:r>
          </m:sub>
        </m:sSub>
        <m:r>
          <w:rPr>
            <w:rFonts w:ascii="Cambria Math" w:hAnsi="Cambria Math"/>
          </w:rPr>
          <m:t>=16</m:t>
        </m:r>
      </m:oMath>
      <w:r w:rsidR="00652AA7">
        <w:t xml:space="preserve">, </w:t>
      </w:r>
      <m:oMath>
        <m:sSub>
          <m:sSubPr>
            <m:ctrlPr>
              <w:rPr>
                <w:rFonts w:ascii="Cambria Math" w:hAnsi="Cambria Math"/>
                <w:i/>
              </w:rPr>
            </m:ctrlPr>
          </m:sSubPr>
          <m:e>
            <m:r>
              <w:rPr>
                <w:rFonts w:ascii="Cambria Math" w:hAnsi="Cambria Math"/>
              </w:rPr>
              <m:t>N</m:t>
            </m:r>
          </m:e>
          <m:sub>
            <m:r>
              <w:rPr>
                <w:rFonts w:ascii="Cambria Math" w:hAnsi="Cambria Math"/>
              </w:rPr>
              <m:t>bit</m:t>
            </m:r>
          </m:sub>
        </m:sSub>
        <m:r>
          <w:rPr>
            <w:rFonts w:ascii="Cambria Math" w:hAnsi="Cambria Math"/>
          </w:rPr>
          <m:t>=2</m:t>
        </m:r>
      </m:oMath>
      <w:r w:rsidRPr="009B4C31">
        <w:t xml:space="preserve">. Thus, total </w:t>
      </w:r>
      <w:r>
        <w:t>128</w:t>
      </w:r>
      <w:r w:rsidRPr="009B4C31">
        <w:t>-bit is used for reporting.</w:t>
      </w:r>
    </w:p>
    <w:p w14:paraId="0B08E7C9" w14:textId="04C812D5" w:rsidR="00FC238F" w:rsidRPr="009B4C31" w:rsidRDefault="00FC238F" w:rsidP="004A2378">
      <w:pPr>
        <w:pStyle w:val="ListParagraph"/>
        <w:numPr>
          <w:ilvl w:val="0"/>
          <w:numId w:val="17"/>
        </w:numPr>
        <w:contextualSpacing w:val="0"/>
      </w:pPr>
      <w:r w:rsidRPr="009B4C31">
        <w:t xml:space="preserve">The </w:t>
      </w:r>
      <w:r>
        <w:t>second</w:t>
      </w:r>
      <w:r w:rsidRPr="009B4C31">
        <w:t xml:space="preserve"> linear compression layer compresses the latent to dimension of 32. The following vector quantizer is designed with 4-entries per segmentation and 8-bit per segmentation</w:t>
      </w:r>
      <w:r w:rsidR="00652AA7">
        <w:t xml:space="preserve">, i.e., </w:t>
      </w:r>
      <m:oMath>
        <m:sSub>
          <m:sSubPr>
            <m:ctrlPr>
              <w:rPr>
                <w:rFonts w:ascii="Cambria Math" w:hAnsi="Cambria Math"/>
                <w:i/>
              </w:rPr>
            </m:ctrlPr>
          </m:sSubPr>
          <m:e>
            <m:r>
              <w:rPr>
                <w:rFonts w:ascii="Cambria Math" w:hAnsi="Cambria Math"/>
              </w:rPr>
              <m:t>N</m:t>
            </m:r>
          </m:e>
          <m:sub>
            <m:r>
              <w:rPr>
                <w:rFonts w:ascii="Cambria Math" w:hAnsi="Cambria Math"/>
              </w:rPr>
              <m:t>seg</m:t>
            </m:r>
          </m:sub>
        </m:sSub>
        <m:r>
          <w:rPr>
            <w:rFonts w:ascii="Cambria Math" w:hAnsi="Cambria Math"/>
          </w:rPr>
          <m:t>=8</m:t>
        </m:r>
      </m:oMath>
      <w:r w:rsidR="00652AA7">
        <w:t xml:space="preserve">, </w:t>
      </w:r>
      <m:oMath>
        <m:sSub>
          <m:sSubPr>
            <m:ctrlPr>
              <w:rPr>
                <w:rFonts w:ascii="Cambria Math" w:hAnsi="Cambria Math"/>
                <w:i/>
              </w:rPr>
            </m:ctrlPr>
          </m:sSubPr>
          <m:e>
            <m:r>
              <w:rPr>
                <w:rFonts w:ascii="Cambria Math" w:hAnsi="Cambria Math"/>
              </w:rPr>
              <m:t>N</m:t>
            </m:r>
          </m:e>
          <m:sub>
            <m:r>
              <w:rPr>
                <w:rFonts w:ascii="Cambria Math" w:hAnsi="Cambria Math"/>
              </w:rPr>
              <m:t>bit</m:t>
            </m:r>
          </m:sub>
        </m:sSub>
        <m:r>
          <w:rPr>
            <w:rFonts w:ascii="Cambria Math" w:hAnsi="Cambria Math"/>
          </w:rPr>
          <m:t>=2</m:t>
        </m:r>
      </m:oMath>
      <w:r w:rsidRPr="009B4C31">
        <w:t>. Thus, total 64-bit is used for reporting.</w:t>
      </w:r>
    </w:p>
    <w:p w14:paraId="6FB0C416" w14:textId="607C8BA9" w:rsidR="00FC238F" w:rsidRPr="00260848" w:rsidRDefault="00FC238F" w:rsidP="00FC238F">
      <w:r w:rsidRPr="00260848">
        <w:t xml:space="preserve">The evaluation results </w:t>
      </w:r>
      <w:r>
        <w:t>are</w:t>
      </w:r>
      <w:r w:rsidRPr="00260848">
        <w:t xml:space="preserve"> presented in</w:t>
      </w:r>
      <w:r w:rsidR="003013C6">
        <w:t xml:space="preserve"> </w:t>
      </w:r>
      <w:r w:rsidR="003013C6">
        <w:fldChar w:fldCharType="begin"/>
      </w:r>
      <w:r w:rsidR="003013C6">
        <w:instrText xml:space="preserve"> REF _Ref193980042 \h </w:instrText>
      </w:r>
      <w:r w:rsidR="003013C6">
        <w:fldChar w:fldCharType="separate"/>
      </w:r>
      <w:r w:rsidR="00631423">
        <w:t xml:space="preserve">Table </w:t>
      </w:r>
      <w:r w:rsidR="00631423">
        <w:rPr>
          <w:noProof/>
        </w:rPr>
        <w:t>3</w:t>
      </w:r>
      <w:r w:rsidR="00631423">
        <w:noBreakHyphen/>
      </w:r>
      <w:r w:rsidR="00631423">
        <w:rPr>
          <w:noProof/>
        </w:rPr>
        <w:t>2</w:t>
      </w:r>
      <w:r w:rsidR="003013C6">
        <w:fldChar w:fldCharType="end"/>
      </w:r>
      <w:r w:rsidRPr="00260848">
        <w:t>.</w:t>
      </w:r>
      <w:r w:rsidR="0067790E">
        <w:t xml:space="preserve"> In this case, antenna port array is 2x8 and full 12 subbands are considered in compression.</w:t>
      </w:r>
      <w:r w:rsidRPr="00260848">
        <w:t xml:space="preserve"> It can be seen that</w:t>
      </w:r>
      <w:r>
        <w:t xml:space="preserve"> minor loss is achieved for medium payload size (128-bit) while marginal loss is achieved for low payload regime (64-bit)</w:t>
      </w:r>
      <w:r w:rsidRPr="00260848">
        <w:t>.</w:t>
      </w:r>
    </w:p>
    <w:p w14:paraId="6B5F776D" w14:textId="65CE1336" w:rsidR="00FC238F" w:rsidRDefault="00FC238F" w:rsidP="00FC238F">
      <w:pPr>
        <w:pStyle w:val="Caption"/>
        <w:keepNext/>
        <w:spacing w:after="120"/>
      </w:pPr>
      <w:bookmarkStart w:id="17" w:name="_Ref193980042"/>
      <w:r>
        <w:t xml:space="preserve">Table </w:t>
      </w:r>
      <w:r w:rsidR="0070386D">
        <w:fldChar w:fldCharType="begin"/>
      </w:r>
      <w:r w:rsidR="0070386D">
        <w:instrText xml:space="preserve"> STYLEREF 1 \s </w:instrText>
      </w:r>
      <w:r w:rsidR="0070386D">
        <w:fldChar w:fldCharType="separate"/>
      </w:r>
      <w:r w:rsidR="00631423">
        <w:rPr>
          <w:noProof/>
        </w:rPr>
        <w:t>3</w:t>
      </w:r>
      <w:r w:rsidR="0070386D">
        <w:fldChar w:fldCharType="end"/>
      </w:r>
      <w:r w:rsidR="0070386D">
        <w:noBreakHyphen/>
      </w:r>
      <w:r w:rsidR="0070386D">
        <w:fldChar w:fldCharType="begin"/>
      </w:r>
      <w:r w:rsidR="0070386D">
        <w:instrText xml:space="preserve"> SEQ Table \* ARABIC \s 1 </w:instrText>
      </w:r>
      <w:r w:rsidR="0070386D">
        <w:fldChar w:fldCharType="separate"/>
      </w:r>
      <w:r w:rsidR="00631423">
        <w:rPr>
          <w:noProof/>
        </w:rPr>
        <w:t>2</w:t>
      </w:r>
      <w:r w:rsidR="0070386D">
        <w:fldChar w:fldCharType="end"/>
      </w:r>
      <w:bookmarkEnd w:id="17"/>
      <w:r>
        <w:t>. Evaluation results on payload scalability using common backbone with adaptation layers and vector quantization.</w:t>
      </w:r>
    </w:p>
    <w:tbl>
      <w:tblPr>
        <w:tblStyle w:val="TableGrid"/>
        <w:tblW w:w="0" w:type="auto"/>
        <w:tblInd w:w="1345" w:type="dxa"/>
        <w:tblLook w:val="04A0" w:firstRow="1" w:lastRow="0" w:firstColumn="1" w:lastColumn="0" w:noHBand="0" w:noVBand="1"/>
      </w:tblPr>
      <w:tblGrid>
        <w:gridCol w:w="2250"/>
        <w:gridCol w:w="2160"/>
        <w:gridCol w:w="3060"/>
      </w:tblGrid>
      <w:tr w:rsidR="00FC238F" w14:paraId="727CB1A4" w14:textId="77777777" w:rsidTr="00146666">
        <w:tc>
          <w:tcPr>
            <w:tcW w:w="2250" w:type="dxa"/>
            <w:vAlign w:val="center"/>
          </w:tcPr>
          <w:p w14:paraId="48757F1E" w14:textId="77777777" w:rsidR="00FC238F" w:rsidRDefault="00FC238F">
            <w:pPr>
              <w:spacing w:after="0"/>
              <w:jc w:val="center"/>
            </w:pPr>
            <w:r>
              <w:t>Payload configuration</w:t>
            </w:r>
          </w:p>
        </w:tc>
        <w:tc>
          <w:tcPr>
            <w:tcW w:w="2160" w:type="dxa"/>
            <w:vAlign w:val="center"/>
          </w:tcPr>
          <w:p w14:paraId="55A0FA1C" w14:textId="77777777" w:rsidR="00FC238F" w:rsidRDefault="00FC238F">
            <w:pPr>
              <w:spacing w:after="0"/>
              <w:jc w:val="center"/>
            </w:pPr>
            <w:r>
              <w:t>SGCS of adaptive layers</w:t>
            </w:r>
          </w:p>
          <w:p w14:paraId="5E9A78BD" w14:textId="6A7D378E" w:rsidR="00872C7B" w:rsidRDefault="00872C7B">
            <w:pPr>
              <w:spacing w:after="0"/>
              <w:jc w:val="center"/>
            </w:pPr>
            <w:r>
              <w:t>(case 1, Alt1+Alt3)</w:t>
            </w:r>
          </w:p>
        </w:tc>
        <w:tc>
          <w:tcPr>
            <w:tcW w:w="3060" w:type="dxa"/>
            <w:vAlign w:val="center"/>
          </w:tcPr>
          <w:p w14:paraId="6716D881" w14:textId="27A2D273" w:rsidR="00FC238F" w:rsidRDefault="00FC238F">
            <w:pPr>
              <w:spacing w:after="0"/>
              <w:jc w:val="center"/>
            </w:pPr>
            <w:r>
              <w:t>SGCS of benchmark (specific model design</w:t>
            </w:r>
            <w:r w:rsidR="00872C7B">
              <w:t>, case 2</w:t>
            </w:r>
            <w:r>
              <w:t>)</w:t>
            </w:r>
          </w:p>
        </w:tc>
      </w:tr>
      <w:tr w:rsidR="00FC238F" w14:paraId="1765A787" w14:textId="77777777" w:rsidTr="00146666">
        <w:tc>
          <w:tcPr>
            <w:tcW w:w="2250" w:type="dxa"/>
            <w:vAlign w:val="center"/>
          </w:tcPr>
          <w:p w14:paraId="34B7C62F" w14:textId="77777777" w:rsidR="00FC238F" w:rsidRDefault="00FC238F">
            <w:pPr>
              <w:spacing w:after="0"/>
              <w:jc w:val="center"/>
            </w:pPr>
            <w:r>
              <w:t>128-bit</w:t>
            </w:r>
          </w:p>
        </w:tc>
        <w:tc>
          <w:tcPr>
            <w:tcW w:w="2160" w:type="dxa"/>
            <w:vAlign w:val="center"/>
          </w:tcPr>
          <w:p w14:paraId="093AB83E" w14:textId="77777777" w:rsidR="00FC238F" w:rsidRPr="009C44C3" w:rsidRDefault="00FC238F">
            <w:pPr>
              <w:spacing w:after="0"/>
              <w:jc w:val="center"/>
              <w:rPr>
                <w:lang w:val="en-US"/>
              </w:rPr>
            </w:pPr>
            <w:r>
              <w:rPr>
                <w:lang w:val="en-US"/>
              </w:rPr>
              <w:t>0.791</w:t>
            </w:r>
            <w:r w:rsidRPr="009C44C3">
              <w:rPr>
                <w:lang w:val="en-US"/>
              </w:rPr>
              <w:t xml:space="preserve"> (-</w:t>
            </w:r>
            <w:r>
              <w:rPr>
                <w:lang w:val="en-US"/>
              </w:rPr>
              <w:t>2.1</w:t>
            </w:r>
            <w:r w:rsidRPr="009C44C3">
              <w:rPr>
                <w:lang w:val="en-US"/>
              </w:rPr>
              <w:t>%)</w:t>
            </w:r>
          </w:p>
        </w:tc>
        <w:tc>
          <w:tcPr>
            <w:tcW w:w="3060" w:type="dxa"/>
            <w:vAlign w:val="center"/>
          </w:tcPr>
          <w:p w14:paraId="2CBADAB9" w14:textId="77777777" w:rsidR="00FC238F" w:rsidRPr="009C44C3" w:rsidRDefault="00FC238F">
            <w:pPr>
              <w:spacing w:after="0"/>
              <w:jc w:val="center"/>
              <w:rPr>
                <w:lang w:val="en-US"/>
              </w:rPr>
            </w:pPr>
            <w:r w:rsidRPr="009C44C3">
              <w:rPr>
                <w:lang w:val="en-US"/>
              </w:rPr>
              <w:t>0.8</w:t>
            </w:r>
            <w:r>
              <w:rPr>
                <w:lang w:val="en-US"/>
              </w:rPr>
              <w:t>09</w:t>
            </w:r>
          </w:p>
        </w:tc>
      </w:tr>
      <w:tr w:rsidR="00FC238F" w14:paraId="40A68A1C" w14:textId="77777777" w:rsidTr="00146666">
        <w:tc>
          <w:tcPr>
            <w:tcW w:w="2250" w:type="dxa"/>
            <w:vAlign w:val="center"/>
          </w:tcPr>
          <w:p w14:paraId="31D8A1FD" w14:textId="77777777" w:rsidR="00FC238F" w:rsidRDefault="00FC238F">
            <w:pPr>
              <w:spacing w:after="0"/>
              <w:jc w:val="center"/>
            </w:pPr>
            <w:r>
              <w:t>64-bit</w:t>
            </w:r>
          </w:p>
        </w:tc>
        <w:tc>
          <w:tcPr>
            <w:tcW w:w="2160" w:type="dxa"/>
            <w:vAlign w:val="center"/>
          </w:tcPr>
          <w:p w14:paraId="5ECB265F" w14:textId="77777777" w:rsidR="00FC238F" w:rsidRPr="009C44C3" w:rsidRDefault="00FC238F">
            <w:pPr>
              <w:spacing w:after="0"/>
              <w:jc w:val="center"/>
              <w:rPr>
                <w:lang w:val="en-US"/>
              </w:rPr>
            </w:pPr>
            <w:r w:rsidRPr="009C44C3">
              <w:rPr>
                <w:lang w:val="en-US"/>
              </w:rPr>
              <w:t>0.</w:t>
            </w:r>
            <w:r>
              <w:rPr>
                <w:lang w:val="en-US"/>
              </w:rPr>
              <w:t>745</w:t>
            </w:r>
            <w:r w:rsidRPr="009C44C3">
              <w:rPr>
                <w:lang w:val="en-US"/>
              </w:rPr>
              <w:t xml:space="preserve"> (-</w:t>
            </w:r>
            <w:r>
              <w:rPr>
                <w:lang w:val="en-US"/>
              </w:rPr>
              <w:t>0.5</w:t>
            </w:r>
            <w:r w:rsidRPr="009C44C3">
              <w:rPr>
                <w:lang w:val="en-US"/>
              </w:rPr>
              <w:t>%)</w:t>
            </w:r>
          </w:p>
        </w:tc>
        <w:tc>
          <w:tcPr>
            <w:tcW w:w="3060" w:type="dxa"/>
            <w:vAlign w:val="center"/>
          </w:tcPr>
          <w:p w14:paraId="328C04F2" w14:textId="77777777" w:rsidR="00FC238F" w:rsidRDefault="00FC238F">
            <w:pPr>
              <w:spacing w:after="0"/>
              <w:jc w:val="center"/>
            </w:pPr>
            <w:r>
              <w:t>0.749</w:t>
            </w:r>
          </w:p>
        </w:tc>
      </w:tr>
    </w:tbl>
    <w:p w14:paraId="500D37FA" w14:textId="77777777" w:rsidR="00FC238F" w:rsidRPr="00490CE3" w:rsidRDefault="00FC238F" w:rsidP="00D55183">
      <w:pPr>
        <w:pStyle w:val="Observation"/>
        <w:rPr>
          <w:rFonts w:eastAsia="SimSun" w:cs="Times"/>
          <w:lang w:eastAsia="x-none"/>
        </w:rPr>
      </w:pPr>
      <w:bookmarkStart w:id="18" w:name="_Ref194071995"/>
      <w:r w:rsidRPr="00490CE3">
        <w:rPr>
          <w:rFonts w:eastAsia="SimSun" w:cs="Times"/>
          <w:lang w:eastAsia="x-none"/>
        </w:rPr>
        <w:t xml:space="preserve">Transformer with </w:t>
      </w:r>
      <w:r>
        <w:rPr>
          <w:rFonts w:eastAsia="SimSun" w:cs="Times"/>
          <w:lang w:eastAsia="x-none"/>
        </w:rPr>
        <w:t>specific linear compression layer and specific vector quantization at the end of encoder</w:t>
      </w:r>
      <w:r w:rsidRPr="00490CE3">
        <w:rPr>
          <w:rFonts w:eastAsia="SimSun" w:cs="Times"/>
          <w:lang w:eastAsia="x-none"/>
        </w:rPr>
        <w:t xml:space="preserve"> achieve </w:t>
      </w:r>
      <w:r>
        <w:rPr>
          <w:rFonts w:eastAsia="SimSun" w:cs="Times"/>
          <w:lang w:eastAsia="x-none"/>
        </w:rPr>
        <w:t>minor loss relative to specific model design for medium payload and achieve marginal loss for low payload regime</w:t>
      </w:r>
      <w:r w:rsidRPr="00490CE3">
        <w:rPr>
          <w:rFonts w:eastAsia="SimSun" w:cs="Times"/>
          <w:lang w:eastAsia="x-none"/>
        </w:rPr>
        <w:t>.</w:t>
      </w:r>
      <w:bookmarkEnd w:id="18"/>
    </w:p>
    <w:p w14:paraId="126A2931" w14:textId="4ACDE728" w:rsidR="005E5D7D" w:rsidRDefault="005E5D7D" w:rsidP="00FC238F">
      <w:pPr>
        <w:pStyle w:val="Proposal"/>
      </w:pPr>
      <w:bookmarkStart w:id="19" w:name="_Ref194072355"/>
      <w:r>
        <w:t>Capture observation 5-7 into TR.</w:t>
      </w:r>
      <w:bookmarkEnd w:id="19"/>
    </w:p>
    <w:p w14:paraId="26294990" w14:textId="4F9496CD" w:rsidR="00FC238F" w:rsidRPr="00782C4E" w:rsidRDefault="00FC238F" w:rsidP="00FC238F">
      <w:pPr>
        <w:pStyle w:val="Proposal"/>
      </w:pPr>
      <w:bookmarkStart w:id="20" w:name="_Ref194072362"/>
      <w:r w:rsidRPr="00782C4E">
        <w:t>Consider transformer-based model structure with positional embedding followed by series of transformer blocks</w:t>
      </w:r>
      <w:bookmarkEnd w:id="20"/>
    </w:p>
    <w:p w14:paraId="18F7E7B1" w14:textId="77777777" w:rsidR="00FC238F" w:rsidRPr="00782C4E" w:rsidRDefault="00FC238F" w:rsidP="004A2378">
      <w:pPr>
        <w:pStyle w:val="Proposal"/>
        <w:numPr>
          <w:ilvl w:val="0"/>
          <w:numId w:val="15"/>
        </w:numPr>
      </w:pPr>
      <w:r w:rsidRPr="00782C4E">
        <w:t>The hyper-parameters include number of transformer blocks = 6, dimension of transformer block = 64, number of attention heads = 8, dimension of attention head = 8.</w:t>
      </w:r>
    </w:p>
    <w:p w14:paraId="798024A0" w14:textId="77777777" w:rsidR="00FC238F" w:rsidRPr="00782C4E" w:rsidRDefault="00FC238F" w:rsidP="004A2378">
      <w:pPr>
        <w:pStyle w:val="Proposal"/>
        <w:numPr>
          <w:ilvl w:val="0"/>
          <w:numId w:val="15"/>
        </w:numPr>
      </w:pPr>
      <w:r w:rsidRPr="00782C4E">
        <w:t>The size of the positional embedding is based on max number of subbands (19) and dimension of the transformer (64)</w:t>
      </w:r>
    </w:p>
    <w:p w14:paraId="4409F839" w14:textId="1DB66BD6" w:rsidR="00FC238F" w:rsidRPr="00782C4E" w:rsidRDefault="00D55183" w:rsidP="00FC238F">
      <w:pPr>
        <w:pStyle w:val="Proposal"/>
      </w:pPr>
      <w:bookmarkStart w:id="21" w:name="_Ref194072368"/>
      <w:r>
        <w:t>Recommend</w:t>
      </w:r>
      <w:r w:rsidR="00FC238F" w:rsidRPr="00782C4E">
        <w:t xml:space="preserve"> following methods for model structure scalability</w:t>
      </w:r>
      <w:bookmarkEnd w:id="21"/>
    </w:p>
    <w:p w14:paraId="7DB0B822" w14:textId="5FC8ECF1" w:rsidR="00344FF8" w:rsidRDefault="00344FF8" w:rsidP="004A2378">
      <w:pPr>
        <w:pStyle w:val="Proposal"/>
        <w:numPr>
          <w:ilvl w:val="0"/>
          <w:numId w:val="16"/>
        </w:numPr>
      </w:pPr>
      <w:r>
        <w:t xml:space="preserve">For tokenization, consider subband as token and antenna port </w:t>
      </w:r>
      <w:r w:rsidR="006746A7">
        <w:t>domain as feature dimension</w:t>
      </w:r>
    </w:p>
    <w:p w14:paraId="4D848457" w14:textId="1241B45B" w:rsidR="00FC238F" w:rsidRPr="00782C4E" w:rsidRDefault="00FC238F" w:rsidP="004A2378">
      <w:pPr>
        <w:pStyle w:val="Proposal"/>
        <w:numPr>
          <w:ilvl w:val="0"/>
          <w:numId w:val="16"/>
        </w:numPr>
      </w:pPr>
      <w:r w:rsidRPr="00782C4E">
        <w:t>To scale with antenna port configuration, employ specific linear embedding layers with zero-padding prior to the positional embedding</w:t>
      </w:r>
    </w:p>
    <w:p w14:paraId="6FD5CB14" w14:textId="77777777" w:rsidR="00FC238F" w:rsidRPr="00782C4E" w:rsidRDefault="00FC238F" w:rsidP="004A2378">
      <w:pPr>
        <w:pStyle w:val="Proposal"/>
        <w:numPr>
          <w:ilvl w:val="0"/>
          <w:numId w:val="16"/>
        </w:numPr>
      </w:pPr>
      <w:r w:rsidRPr="00782C4E">
        <w:t>To scale with subband configuration, employ respective entries of positional embedding and perform zero-padding to the transformer output based on subband indices</w:t>
      </w:r>
    </w:p>
    <w:p w14:paraId="77DCB76C" w14:textId="77777777" w:rsidR="00FC238F" w:rsidRPr="00782C4E" w:rsidRDefault="00FC238F" w:rsidP="004A2378">
      <w:pPr>
        <w:pStyle w:val="Proposal"/>
        <w:numPr>
          <w:ilvl w:val="0"/>
          <w:numId w:val="16"/>
        </w:numPr>
      </w:pPr>
      <w:r w:rsidRPr="00782C4E">
        <w:t>To scale with payload configuration, employ specific linear compression layer and specific</w:t>
      </w:r>
      <w:r>
        <w:t xml:space="preserve"> vector</w:t>
      </w:r>
      <w:r w:rsidRPr="00782C4E">
        <w:t xml:space="preserve"> quantization after the transformer blocks</w:t>
      </w:r>
    </w:p>
    <w:p w14:paraId="2F752603" w14:textId="0F75CBE9" w:rsidR="009A5C94" w:rsidRDefault="009A5C94" w:rsidP="00A67448">
      <w:pPr>
        <w:pStyle w:val="Heading2"/>
      </w:pPr>
      <w:r>
        <w:lastRenderedPageBreak/>
        <w:t xml:space="preserve">Model structure scalability over </w:t>
      </w:r>
      <w:r w:rsidR="00DB44EC">
        <w:t>layers</w:t>
      </w:r>
    </w:p>
    <w:p w14:paraId="01CE57A6" w14:textId="47503C1F" w:rsidR="00A67448" w:rsidRDefault="00536C35" w:rsidP="00A67448">
      <w:r>
        <w:t xml:space="preserve">Another aspect </w:t>
      </w:r>
      <w:r w:rsidR="004734B2">
        <w:t xml:space="preserve">regarding model structure feasibility and scalability is about the structure for different layers and rank. </w:t>
      </w:r>
      <w:r w:rsidR="00A67448">
        <w:t xml:space="preserve">In Rel-18 study, for evaluation purpose, there are 6 options for how to support the CSI compression for rank &gt; 1 case. </w:t>
      </w:r>
    </w:p>
    <w:tbl>
      <w:tblPr>
        <w:tblStyle w:val="TableGrid"/>
        <w:tblW w:w="0" w:type="auto"/>
        <w:tblLook w:val="04A0" w:firstRow="1" w:lastRow="0" w:firstColumn="1" w:lastColumn="0" w:noHBand="0" w:noVBand="1"/>
      </w:tblPr>
      <w:tblGrid>
        <w:gridCol w:w="9350"/>
      </w:tblGrid>
      <w:tr w:rsidR="00877C58" w14:paraId="7AB69703" w14:textId="77777777" w:rsidTr="00877C58">
        <w:tc>
          <w:tcPr>
            <w:tcW w:w="9350" w:type="dxa"/>
          </w:tcPr>
          <w:p w14:paraId="750B472C" w14:textId="77777777" w:rsidR="00877C58" w:rsidRPr="00133C49" w:rsidRDefault="00877C58" w:rsidP="00877C58">
            <w:pPr>
              <w:pStyle w:val="B1"/>
              <w:rPr>
                <w:lang w:eastAsia="zh-CN"/>
              </w:rPr>
            </w:pPr>
            <w:r w:rsidRPr="00133C49">
              <w:rPr>
                <w:lang w:eastAsia="zh-CN"/>
              </w:rPr>
              <w:t>Option 1-1 (rank specific): Separated AI/ML models are trained per rank value and applied for corresponding ranks to perform individual inference, any specific model operates on multi-layers jointly.</w:t>
            </w:r>
          </w:p>
          <w:p w14:paraId="4CB65E51" w14:textId="77777777" w:rsidR="00877C58" w:rsidRPr="00133C49" w:rsidRDefault="00877C58" w:rsidP="00877C58">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inference, the model operates on multi-layers jointly. </w:t>
            </w:r>
          </w:p>
          <w:p w14:paraId="0B4D22AB" w14:textId="77777777" w:rsidR="00877C58" w:rsidRPr="00133C49" w:rsidRDefault="00877C58" w:rsidP="00877C58">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937BA69" w14:textId="77777777" w:rsidR="00877C58" w:rsidRPr="00133C49" w:rsidRDefault="00877C58" w:rsidP="00877C58">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59F72223" w14:textId="77777777" w:rsidR="00877C58" w:rsidRPr="00133C49" w:rsidRDefault="00877C58" w:rsidP="00877C58">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78E58A4E" w14:textId="77777777" w:rsidR="00877C58" w:rsidRPr="00133C49" w:rsidRDefault="00877C58" w:rsidP="00877C58">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18F7BA44" w14:textId="77777777" w:rsidR="00877C58" w:rsidRPr="00133C49" w:rsidRDefault="00877C58" w:rsidP="00877C58">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72B173C7" w14:textId="77777777" w:rsidR="00877C58" w:rsidRPr="00133C49" w:rsidRDefault="00877C58" w:rsidP="00877C58">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1CB39886" w14:textId="77777777" w:rsidR="00877C58" w:rsidRPr="00133C49" w:rsidRDefault="00877C58" w:rsidP="00877C58">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30EF10A4" w14:textId="77777777" w:rsidR="00877C58" w:rsidRPr="00133C49" w:rsidRDefault="00877C58" w:rsidP="00877C58">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E5E33C0" w14:textId="77777777" w:rsidR="00877C58" w:rsidRPr="00133C49" w:rsidRDefault="00877C58" w:rsidP="00877C58">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414E7A4C" w14:textId="29BE18BF" w:rsidR="00877C58" w:rsidRDefault="00877C58" w:rsidP="00877C58">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c>
      </w:tr>
    </w:tbl>
    <w:p w14:paraId="04D251EC" w14:textId="77777777" w:rsidR="00877C58" w:rsidRDefault="00877C58" w:rsidP="00A67448"/>
    <w:p w14:paraId="6405275C" w14:textId="1BB4745D" w:rsidR="00A67448" w:rsidRDefault="00A67448" w:rsidP="00A67448">
      <w:r>
        <w:t>Among the options, rank-common</w:t>
      </w:r>
      <w:r w:rsidR="007C4988">
        <w:t xml:space="preserve"> (option 1-1)</w:t>
      </w:r>
      <w:r>
        <w:t xml:space="preserve"> or rank-specific</w:t>
      </w:r>
      <w:r w:rsidR="007C4988">
        <w:t xml:space="preserve"> (option 1-2)</w:t>
      </w:r>
      <w:r>
        <w:t xml:space="preserve"> model that compress the layers jointly may have higher model complexity and be hard to train because the compression would across spatial, frequency, time and layer domain. In addition, layer specific and/or rank specific structures lead to increased memory requirements at the UE to hold multiple model structures. To achieve a balance between performance, complexity, and specification complexity, a layer-common and rank common (Option 3-1) structure can be standardized and vendors can optionally develop layer-common or layer-specific parameters.</w:t>
      </w:r>
    </w:p>
    <w:p w14:paraId="34C3ED22" w14:textId="77777777" w:rsidR="00A67448" w:rsidRDefault="00A67448" w:rsidP="00BC0F7B">
      <w:pPr>
        <w:pStyle w:val="Proposal"/>
      </w:pPr>
      <w:bookmarkStart w:id="22" w:name="_Ref194072377"/>
      <w:r>
        <w:t>Consider layer-common and rank common (Option 3-1) structure for CSI generation model and/or CSI reconstruction model for specified structures. Layer-common (Option 3-1) or layer-specific (Option 2-1) parameters can be upto vendor’s implementation choice.</w:t>
      </w:r>
      <w:bookmarkEnd w:id="22"/>
      <w:r>
        <w:t xml:space="preserve"> </w:t>
      </w:r>
    </w:p>
    <w:p w14:paraId="5B6D13BB" w14:textId="77777777" w:rsidR="00A67448" w:rsidRPr="001E7565" w:rsidRDefault="00A67448" w:rsidP="004A2378">
      <w:pPr>
        <w:pStyle w:val="Proposal"/>
        <w:numPr>
          <w:ilvl w:val="0"/>
          <w:numId w:val="5"/>
        </w:numPr>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4EF8245B" w14:textId="77777777" w:rsidR="00A67448" w:rsidRPr="00A67448" w:rsidRDefault="00A67448" w:rsidP="00A67448"/>
    <w:p w14:paraId="5CD06290" w14:textId="24FCF275" w:rsidR="003F2335" w:rsidRDefault="00DE2D3E" w:rsidP="00D70B54">
      <w:pPr>
        <w:pStyle w:val="Heading1"/>
      </w:pPr>
      <w:r>
        <w:lastRenderedPageBreak/>
        <w:t>Complexity performance trade-off</w:t>
      </w:r>
    </w:p>
    <w:p w14:paraId="6C93802E" w14:textId="77777777" w:rsidR="00E655DD" w:rsidRDefault="00E655DD" w:rsidP="00E655DD">
      <w:pPr>
        <w:pStyle w:val="Heading2"/>
      </w:pPr>
      <w:r>
        <w:t xml:space="preserve">Techniques for complexity reduction </w:t>
      </w:r>
    </w:p>
    <w:p w14:paraId="71A959BF" w14:textId="77777777" w:rsidR="00E655DD" w:rsidRDefault="00E655DD" w:rsidP="00E655DD">
      <w:r>
        <w:t>One of the proposed methods for reducing the dimensionality of the input/output of the neural network is to consider the precoder representation in the angle domain or angle-delay domain by doing projection on the spatial domain (SD) basis and the frequency domain (FD) basis, as in etypeII codebook. The precoder representation in the angle-delay domain will be sparse allowing dimensionality reduction by doing SD/FD basis selection. The following two points summarize the dimensionality reduction and the associated overhead for communicating the basis selection</w:t>
      </w:r>
    </w:p>
    <w:p w14:paraId="08E4F857" w14:textId="77777777" w:rsidR="00E655DD" w:rsidRDefault="00E655DD" w:rsidP="004A2378">
      <w:pPr>
        <w:pStyle w:val="ListParagraph"/>
        <w:numPr>
          <w:ilvl w:val="0"/>
          <w:numId w:val="9"/>
        </w:numPr>
      </w:pPr>
      <w:r>
        <w:t xml:space="preserve">‘L’ SD basis selection enables us to reduce the number of rows from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to 2L.</w:t>
      </w:r>
    </w:p>
    <w:p w14:paraId="5317D023" w14:textId="77777777" w:rsidR="00E655DD" w:rsidRDefault="00E655DD" w:rsidP="004A2378">
      <w:pPr>
        <w:pStyle w:val="ListParagraph"/>
        <w:numPr>
          <w:ilvl w:val="1"/>
          <w:numId w:val="9"/>
        </w:numPr>
      </w:pPr>
      <w:r>
        <w:t xml:space="preserve">This requires </w:t>
      </w:r>
      <m:oMath>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 </m:t>
        </m:r>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eastAsia="Cambria Math" w:hAnsi="Cambria Math" w:cs="Cambria Math"/>
                          </w:rPr>
                          <m:t>L</m:t>
                        </m:r>
                      </m:den>
                    </m:f>
                  </m:e>
                </m:d>
              </m:e>
            </m:d>
          </m:e>
        </m:d>
      </m:oMath>
      <w:r>
        <w:t xml:space="preserve"> overhead bits for signalling the SD basis selection for all layers</w:t>
      </w:r>
    </w:p>
    <w:p w14:paraId="5398A0D6" w14:textId="77777777" w:rsidR="00E655DD" w:rsidRDefault="00E655DD" w:rsidP="004A2378">
      <w:pPr>
        <w:pStyle w:val="ListParagraph"/>
        <w:numPr>
          <w:ilvl w:val="0"/>
          <w:numId w:val="9"/>
        </w:numPr>
      </w:pPr>
      <w:r>
        <w:t xml:space="preserve">‘M’ FD basis selection enables us to reduce the number of columns from N3 subbands to M </w:t>
      </w:r>
    </w:p>
    <w:p w14:paraId="215F0E95" w14:textId="77777777" w:rsidR="00E655DD" w:rsidRDefault="00E655DD" w:rsidP="004A2378">
      <w:pPr>
        <w:pStyle w:val="ListParagraph"/>
        <w:numPr>
          <w:ilvl w:val="1"/>
          <w:numId w:val="9"/>
        </w:numPr>
      </w:pPr>
      <w:r>
        <w:t xml:space="preserve">This requires </w:t>
      </w:r>
      <m:oMath>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eastAsia="Cambria Math" w:hAnsi="Cambria Math" w:cs="Cambria Math"/>
                          </w:rPr>
                          <m:t>M</m:t>
                        </m:r>
                      </m:den>
                    </m:f>
                  </m:e>
                </m:d>
              </m:e>
            </m:d>
          </m:e>
        </m:d>
      </m:oMath>
      <w:r>
        <w:t xml:space="preserve"> overhead bits for signalling the FD basis selection per-layer </w:t>
      </w:r>
    </w:p>
    <w:p w14:paraId="56BF1FA0" w14:textId="34FDCE65" w:rsidR="00E655DD" w:rsidRDefault="00E655DD" w:rsidP="00E655DD">
      <w:r>
        <w:t xml:space="preserve">The intuition for the neural network complexity reduction comes from the fact that the precoder representation in the angle-delay domain has a smaller dim, i.e., matrix size of 2L x M. However, the dimensionality reduction of the input will come at the cost of SGCS degradation, so L and M will need to be chosen carefully. </w:t>
      </w:r>
      <w:r w:rsidR="003013C6">
        <w:fldChar w:fldCharType="begin"/>
      </w:r>
      <w:r w:rsidR="003013C6">
        <w:instrText xml:space="preserve"> REF _Ref193980074 \h </w:instrText>
      </w:r>
      <w:r w:rsidR="003013C6">
        <w:fldChar w:fldCharType="separate"/>
      </w:r>
      <w:r w:rsidR="00631423">
        <w:t xml:space="preserve">Figure </w:t>
      </w:r>
      <w:r w:rsidR="00631423">
        <w:rPr>
          <w:noProof/>
        </w:rPr>
        <w:t>4</w:t>
      </w:r>
      <w:r w:rsidR="00631423">
        <w:noBreakHyphen/>
      </w:r>
      <w:r w:rsidR="00631423">
        <w:rPr>
          <w:noProof/>
        </w:rPr>
        <w:t>1</w:t>
      </w:r>
      <w:r w:rsidR="003013C6">
        <w:fldChar w:fldCharType="end"/>
      </w:r>
      <w:r w:rsidR="003013C6">
        <w:t xml:space="preserve"> </w:t>
      </w:r>
      <w:r>
        <w:t>shows the expected SGCS degradation by doing ‘L’ SD basis selection without compressing the precoder representation, i.e., it only captures loss from dimensionality reduction. The x-axis represents the number of real dimensions in the SD (4L) of the precoder, and the y-axis represents the SGCS in (dB) when comparing original SVD output ‘V’ with the reconstructed precoder obtained by multiplying the coefficients with SD basis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The trend is similar for both Dense-Urban with 100% Outdoor UEs and Dense-Urban with 80% indoor UEs.   </w:t>
      </w:r>
    </w:p>
    <w:p w14:paraId="7D2D317C" w14:textId="77777777" w:rsidR="00E655DD" w:rsidRDefault="00E655DD" w:rsidP="00E655DD">
      <w:pPr>
        <w:keepNext/>
        <w:jc w:val="center"/>
      </w:pPr>
      <w:r>
        <w:rPr>
          <w:noProof/>
        </w:rPr>
        <w:drawing>
          <wp:inline distT="0" distB="0" distL="0" distR="0" wp14:anchorId="48098647" wp14:editId="30712AA9">
            <wp:extent cx="3176441" cy="2717800"/>
            <wp:effectExtent l="0" t="0" r="5080" b="6350"/>
            <wp:docPr id="667940515" name="Picture 1" descr="A graph of 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84212" name="Picture 1" descr="A graph of a graph with red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0990" cy="2721692"/>
                    </a:xfrm>
                    <a:prstGeom prst="rect">
                      <a:avLst/>
                    </a:prstGeom>
                    <a:noFill/>
                  </pic:spPr>
                </pic:pic>
              </a:graphicData>
            </a:graphic>
          </wp:inline>
        </w:drawing>
      </w:r>
    </w:p>
    <w:p w14:paraId="49D0659F" w14:textId="02A7FDA5" w:rsidR="00E655DD" w:rsidRDefault="00E655DD" w:rsidP="00E655DD">
      <w:pPr>
        <w:pStyle w:val="Caption"/>
      </w:pPr>
      <w:bookmarkStart w:id="23" w:name="_Ref193980074"/>
      <w:r>
        <w:t xml:space="preserve">Figure </w:t>
      </w:r>
      <w:r w:rsidR="00D67F58">
        <w:fldChar w:fldCharType="begin"/>
      </w:r>
      <w:r w:rsidR="00D67F58">
        <w:instrText xml:space="preserve"> STYLEREF 1 \s </w:instrText>
      </w:r>
      <w:r w:rsidR="00D67F58">
        <w:fldChar w:fldCharType="separate"/>
      </w:r>
      <w:r w:rsidR="00631423">
        <w:rPr>
          <w:noProof/>
        </w:rPr>
        <w:t>4</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1</w:t>
      </w:r>
      <w:r w:rsidR="00D67F58">
        <w:fldChar w:fldCharType="end"/>
      </w:r>
      <w:bookmarkEnd w:id="23"/>
      <w:r w:rsidR="003013C6">
        <w:t>.</w:t>
      </w:r>
      <w:r>
        <w:t xml:space="preserve"> Impact of 'L' SD basis selection on the SGCS of reconstructed precoder without compressing the coefficients</w:t>
      </w:r>
    </w:p>
    <w:p w14:paraId="5AD75D1A" w14:textId="69165E5C" w:rsidR="00E655DD" w:rsidRDefault="00E655DD" w:rsidP="00E655DD">
      <w:r>
        <w:t xml:space="preserve">Similarly, </w:t>
      </w:r>
      <w:r w:rsidR="00FB2006">
        <w:fldChar w:fldCharType="begin"/>
      </w:r>
      <w:r w:rsidR="00FB2006">
        <w:instrText xml:space="preserve"> REF _Ref193980095 \h </w:instrText>
      </w:r>
      <w:r w:rsidR="00FB2006">
        <w:fldChar w:fldCharType="separate"/>
      </w:r>
      <w:r w:rsidR="00631423">
        <w:t xml:space="preserve">Figure </w:t>
      </w:r>
      <w:r w:rsidR="00631423">
        <w:rPr>
          <w:noProof/>
        </w:rPr>
        <w:t>4</w:t>
      </w:r>
      <w:r w:rsidR="00631423">
        <w:noBreakHyphen/>
      </w:r>
      <w:r w:rsidR="00631423">
        <w:rPr>
          <w:noProof/>
        </w:rPr>
        <w:t>2</w:t>
      </w:r>
      <w:r w:rsidR="00FB2006">
        <w:fldChar w:fldCharType="end"/>
      </w:r>
      <w:r>
        <w:t xml:space="preserve"> shows the expected SGCS degradation by doing ‘L’ SD basis and ‘M’ FD basis selection without compressing the precoder representation for Dense-Urban with 80% indoor UEs, i.e., it only captures loss from dimensionality reduction. The x-axis represents the number of FD basis (M), and the y-axis represents the SGCS in (dB) when comparing original SVD output ‘V’ with the reconstructed </w:t>
      </w:r>
      <w:r>
        <w:lastRenderedPageBreak/>
        <w:t xml:space="preserve">precoder obtained.  The SGCS performance in this figure represents an upper-bound on etypeII performance and ML compression in angle-delay domain for a given ‘L’ and ‘M’. </w:t>
      </w:r>
    </w:p>
    <w:p w14:paraId="131B8E35" w14:textId="77777777" w:rsidR="00E655DD" w:rsidRDefault="00E655DD" w:rsidP="00E655DD">
      <w:pPr>
        <w:jc w:val="center"/>
      </w:pPr>
      <w:r w:rsidRPr="004C3D4A">
        <w:rPr>
          <w:noProof/>
        </w:rPr>
        <w:drawing>
          <wp:inline distT="0" distB="0" distL="0" distR="0" wp14:anchorId="007E5935" wp14:editId="0A31087E">
            <wp:extent cx="3079750" cy="2556240"/>
            <wp:effectExtent l="0" t="0" r="6350" b="0"/>
            <wp:docPr id="1519328768" name="Picture 1" descr="A graph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876642" name="Picture 1" descr="A graph of a number of objects&#10;&#10;Description automatically generated with medium confidence"/>
                    <pic:cNvPicPr/>
                  </pic:nvPicPr>
                  <pic:blipFill>
                    <a:blip r:embed="rId15"/>
                    <a:stretch>
                      <a:fillRect/>
                    </a:stretch>
                  </pic:blipFill>
                  <pic:spPr>
                    <a:xfrm>
                      <a:off x="0" y="0"/>
                      <a:ext cx="3095031" cy="2568924"/>
                    </a:xfrm>
                    <a:prstGeom prst="rect">
                      <a:avLst/>
                    </a:prstGeom>
                  </pic:spPr>
                </pic:pic>
              </a:graphicData>
            </a:graphic>
          </wp:inline>
        </w:drawing>
      </w:r>
    </w:p>
    <w:p w14:paraId="232B3FFA" w14:textId="62139191" w:rsidR="00E655DD" w:rsidRDefault="00E655DD" w:rsidP="00E655DD">
      <w:pPr>
        <w:pStyle w:val="Caption"/>
      </w:pPr>
      <w:bookmarkStart w:id="24" w:name="_Ref193980095"/>
      <w:r>
        <w:t xml:space="preserve">Figure </w:t>
      </w:r>
      <w:r w:rsidR="00D67F58">
        <w:fldChar w:fldCharType="begin"/>
      </w:r>
      <w:r w:rsidR="00D67F58">
        <w:instrText xml:space="preserve"> STYLEREF 1 \s </w:instrText>
      </w:r>
      <w:r w:rsidR="00D67F58">
        <w:fldChar w:fldCharType="separate"/>
      </w:r>
      <w:r w:rsidR="00631423">
        <w:rPr>
          <w:noProof/>
        </w:rPr>
        <w:t>4</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2</w:t>
      </w:r>
      <w:r w:rsidR="00D67F58">
        <w:fldChar w:fldCharType="end"/>
      </w:r>
      <w:bookmarkEnd w:id="24"/>
      <w:r w:rsidR="003013C6">
        <w:t>.</w:t>
      </w:r>
      <w:r>
        <w:t xml:space="preserve"> Impact of SD/FD basis selection on SGCS performance without coefficient quantization</w:t>
      </w:r>
    </w:p>
    <w:p w14:paraId="4D42208D" w14:textId="437A61D3" w:rsidR="00E655DD" w:rsidRDefault="00E655DD" w:rsidP="00E655DD">
      <w:r>
        <w:t xml:space="preserve">In </w:t>
      </w:r>
      <w:r w:rsidR="00FB2006">
        <w:fldChar w:fldCharType="begin"/>
      </w:r>
      <w:r w:rsidR="00FB2006">
        <w:instrText xml:space="preserve"> REF _Ref193980122 \h </w:instrText>
      </w:r>
      <w:r w:rsidR="00FB2006">
        <w:fldChar w:fldCharType="separate"/>
      </w:r>
      <w:r w:rsidR="00631423">
        <w:t xml:space="preserve">Table </w:t>
      </w:r>
      <w:r w:rsidR="00631423">
        <w:rPr>
          <w:noProof/>
        </w:rPr>
        <w:t>4</w:t>
      </w:r>
      <w:r w:rsidR="00631423">
        <w:noBreakHyphen/>
      </w:r>
      <w:r w:rsidR="00631423">
        <w:rPr>
          <w:noProof/>
        </w:rPr>
        <w:t>1</w:t>
      </w:r>
      <w:r w:rsidR="00FB2006">
        <w:fldChar w:fldCharType="end"/>
      </w:r>
      <w:r>
        <w:t>, we compare the achievable performance of ML CSF in spatial-frequency domain for layer0, i.e., our baseline ML CSF scheme, with the upper-bound on angle-delay domain for different ‘M’ and ‘L’. From the table, we observe that the high directionality reduction (</w:t>
      </w:r>
      <m:oMath>
        <m:r>
          <w:rPr>
            <w:rFonts w:ascii="Cambria Math" w:hAnsi="Cambria Math"/>
          </w:rPr>
          <m:t>L≤4, M≤4</m:t>
        </m:r>
      </m:oMath>
      <w:r>
        <w:t>) is feasible only in the small-payload regime and increasing the payload will require increasing ‘L’ and/or ‘M’, otherwise the performance will be limited by the FD/SD basis selection. Additionally, in the small-payload regime the overhead for communicating FD/SD basis selection is non-trivial compared to the total payload, e.g., if 32 bits are used for representing the coefficients and (L=4, M=4), we need additional 25 bits for SD/FD basis selection which is around 44% of the total payload. This additional overhead will limit the gains from the angle-delay domain approach especially for case0.Thus, from this angle, it is expected that transferred domain approach is not suitable for small payload regime (32 bits and 64 bits) considering that the conveying (L, M) selection would consume payload of range 22bits to 28bits.</w:t>
      </w:r>
    </w:p>
    <w:p w14:paraId="7CE7AD0B" w14:textId="05964DC1" w:rsidR="00E655DD" w:rsidRPr="005D051B" w:rsidRDefault="00E655DD" w:rsidP="00E655DD">
      <w:pPr>
        <w:pStyle w:val="Caption"/>
        <w:spacing w:after="120"/>
      </w:pPr>
      <w:bookmarkStart w:id="25" w:name="_Ref193980122"/>
      <w:r>
        <w:t xml:space="preserve">Table </w:t>
      </w:r>
      <w:r w:rsidR="0070386D">
        <w:fldChar w:fldCharType="begin"/>
      </w:r>
      <w:r w:rsidR="0070386D">
        <w:instrText xml:space="preserve"> STYLEREF 1 \s </w:instrText>
      </w:r>
      <w:r w:rsidR="0070386D">
        <w:fldChar w:fldCharType="separate"/>
      </w:r>
      <w:r w:rsidR="00631423">
        <w:rPr>
          <w:noProof/>
        </w:rPr>
        <w:t>4</w:t>
      </w:r>
      <w:r w:rsidR="0070386D">
        <w:fldChar w:fldCharType="end"/>
      </w:r>
      <w:r w:rsidR="0070386D">
        <w:noBreakHyphen/>
      </w:r>
      <w:r w:rsidR="0070386D">
        <w:fldChar w:fldCharType="begin"/>
      </w:r>
      <w:r w:rsidR="0070386D">
        <w:instrText xml:space="preserve"> SEQ Table \* ARABIC \s 1 </w:instrText>
      </w:r>
      <w:r w:rsidR="0070386D">
        <w:fldChar w:fldCharType="separate"/>
      </w:r>
      <w:r w:rsidR="00631423">
        <w:rPr>
          <w:noProof/>
        </w:rPr>
        <w:t>1</w:t>
      </w:r>
      <w:r w:rsidR="0070386D">
        <w:fldChar w:fldCharType="end"/>
      </w:r>
      <w:bookmarkEnd w:id="25"/>
      <w:r>
        <w:t xml:space="preserve"> Comparison between upper-bounds on angle-delay domain and ML CSF in spatial-frequency domain</w:t>
      </w:r>
    </w:p>
    <w:tbl>
      <w:tblPr>
        <w:tblStyle w:val="TableGrid"/>
        <w:tblW w:w="0" w:type="auto"/>
        <w:tblLook w:val="04A0" w:firstRow="1" w:lastRow="0" w:firstColumn="1" w:lastColumn="0" w:noHBand="0" w:noVBand="1"/>
      </w:tblPr>
      <w:tblGrid>
        <w:gridCol w:w="902"/>
        <w:gridCol w:w="736"/>
        <w:gridCol w:w="835"/>
        <w:gridCol w:w="736"/>
        <w:gridCol w:w="835"/>
        <w:gridCol w:w="835"/>
        <w:gridCol w:w="835"/>
        <w:gridCol w:w="909"/>
        <w:gridCol w:w="909"/>
        <w:gridCol w:w="909"/>
        <w:gridCol w:w="909"/>
      </w:tblGrid>
      <w:tr w:rsidR="00E655DD" w14:paraId="4624131A" w14:textId="77777777">
        <w:trPr>
          <w:trHeight w:val="459"/>
        </w:trPr>
        <w:tc>
          <w:tcPr>
            <w:tcW w:w="0" w:type="auto"/>
            <w:vMerge w:val="restart"/>
            <w:vAlign w:val="center"/>
          </w:tcPr>
          <w:p w14:paraId="5EE66772" w14:textId="77777777" w:rsidR="00E655DD" w:rsidRPr="00447354" w:rsidRDefault="00E655DD">
            <w:pPr>
              <w:jc w:val="center"/>
              <w:rPr>
                <w:b/>
              </w:rPr>
            </w:pPr>
            <w:r w:rsidRPr="00447354">
              <w:rPr>
                <w:b/>
                <w:bCs/>
              </w:rPr>
              <w:t>scheme</w:t>
            </w:r>
          </w:p>
        </w:tc>
        <w:tc>
          <w:tcPr>
            <w:tcW w:w="0" w:type="auto"/>
            <w:gridSpan w:val="6"/>
            <w:vAlign w:val="center"/>
          </w:tcPr>
          <w:p w14:paraId="481B6258" w14:textId="77777777" w:rsidR="00E655DD" w:rsidRPr="002E0AF6" w:rsidRDefault="00E655DD">
            <w:pPr>
              <w:jc w:val="center"/>
              <w:rPr>
                <w:b/>
              </w:rPr>
            </w:pPr>
            <w:r w:rsidRPr="002E0AF6">
              <w:rPr>
                <w:b/>
              </w:rPr>
              <w:t>Upper-bound on angle-delay domain</w:t>
            </w:r>
          </w:p>
        </w:tc>
        <w:tc>
          <w:tcPr>
            <w:tcW w:w="0" w:type="auto"/>
            <w:gridSpan w:val="4"/>
            <w:vAlign w:val="center"/>
          </w:tcPr>
          <w:p w14:paraId="5D98B351" w14:textId="77777777" w:rsidR="00E655DD" w:rsidRPr="002E0AF6" w:rsidRDefault="00E655DD">
            <w:pPr>
              <w:jc w:val="center"/>
              <w:rPr>
                <w:b/>
              </w:rPr>
            </w:pPr>
            <w:r w:rsidRPr="002E0AF6">
              <w:rPr>
                <w:b/>
              </w:rPr>
              <w:t>ML CSF in spatial-freq domain for different payload (bits per-layer)</w:t>
            </w:r>
          </w:p>
        </w:tc>
      </w:tr>
      <w:tr w:rsidR="00E655DD" w14:paraId="04A33F95" w14:textId="77777777">
        <w:trPr>
          <w:trHeight w:val="738"/>
        </w:trPr>
        <w:tc>
          <w:tcPr>
            <w:tcW w:w="0" w:type="auto"/>
            <w:vMerge/>
            <w:vAlign w:val="center"/>
          </w:tcPr>
          <w:p w14:paraId="70FD9CC4" w14:textId="77777777" w:rsidR="00E655DD" w:rsidRDefault="00E655DD">
            <w:pPr>
              <w:jc w:val="center"/>
            </w:pPr>
          </w:p>
        </w:tc>
        <w:tc>
          <w:tcPr>
            <w:tcW w:w="0" w:type="auto"/>
            <w:shd w:val="clear" w:color="auto" w:fill="FFF2CC" w:themeFill="accent4" w:themeFillTint="33"/>
            <w:vAlign w:val="center"/>
          </w:tcPr>
          <w:p w14:paraId="4C74009E" w14:textId="77777777" w:rsidR="00E655DD" w:rsidRDefault="00E655DD">
            <w:pPr>
              <w:jc w:val="center"/>
            </w:pPr>
            <w:r>
              <w:t>L4, M2</w:t>
            </w:r>
          </w:p>
          <w:p w14:paraId="19487927" w14:textId="77777777" w:rsidR="00E655DD" w:rsidRDefault="00E655DD">
            <w:pPr>
              <w:jc w:val="center"/>
            </w:pPr>
            <w:r>
              <w:t>(22 bits)</w:t>
            </w:r>
          </w:p>
        </w:tc>
        <w:tc>
          <w:tcPr>
            <w:tcW w:w="0" w:type="auto"/>
            <w:shd w:val="clear" w:color="auto" w:fill="FFF2CC" w:themeFill="accent4" w:themeFillTint="33"/>
            <w:vAlign w:val="center"/>
          </w:tcPr>
          <w:p w14:paraId="0C5C9926" w14:textId="77777777" w:rsidR="00E655DD" w:rsidRDefault="00E655DD">
            <w:pPr>
              <w:jc w:val="center"/>
            </w:pPr>
            <w:r>
              <w:t>L4, M4</w:t>
            </w:r>
          </w:p>
          <w:p w14:paraId="576C0153" w14:textId="77777777" w:rsidR="00E655DD" w:rsidRDefault="00E655DD">
            <w:pPr>
              <w:jc w:val="center"/>
            </w:pPr>
            <w:r>
              <w:t>(25 bits)</w:t>
            </w:r>
          </w:p>
        </w:tc>
        <w:tc>
          <w:tcPr>
            <w:tcW w:w="0" w:type="auto"/>
            <w:shd w:val="clear" w:color="auto" w:fill="FFF2CC" w:themeFill="accent4" w:themeFillTint="33"/>
            <w:vAlign w:val="center"/>
          </w:tcPr>
          <w:p w14:paraId="657BA1AB" w14:textId="77777777" w:rsidR="00E655DD" w:rsidRDefault="00E655DD">
            <w:pPr>
              <w:jc w:val="center"/>
            </w:pPr>
            <w:r>
              <w:t>L4, M8</w:t>
            </w:r>
          </w:p>
          <w:p w14:paraId="52F61920" w14:textId="77777777" w:rsidR="00E655DD" w:rsidRDefault="00E655DD">
            <w:pPr>
              <w:jc w:val="center"/>
            </w:pPr>
            <w:r>
              <w:t>(26 bits)</w:t>
            </w:r>
          </w:p>
        </w:tc>
        <w:tc>
          <w:tcPr>
            <w:tcW w:w="0" w:type="auto"/>
            <w:shd w:val="clear" w:color="auto" w:fill="FFE599" w:themeFill="accent4" w:themeFillTint="66"/>
            <w:vAlign w:val="center"/>
          </w:tcPr>
          <w:p w14:paraId="462ED211" w14:textId="77777777" w:rsidR="00E655DD" w:rsidRDefault="00E655DD">
            <w:pPr>
              <w:jc w:val="center"/>
            </w:pPr>
            <w:r>
              <w:t>L6, M2</w:t>
            </w:r>
          </w:p>
          <w:p w14:paraId="0D3DB02B" w14:textId="77777777" w:rsidR="00E655DD" w:rsidRDefault="00E655DD">
            <w:pPr>
              <w:jc w:val="center"/>
            </w:pPr>
            <w:r>
              <w:t>(24 bits)</w:t>
            </w:r>
          </w:p>
        </w:tc>
        <w:tc>
          <w:tcPr>
            <w:tcW w:w="0" w:type="auto"/>
            <w:shd w:val="clear" w:color="auto" w:fill="FFE599" w:themeFill="accent4" w:themeFillTint="66"/>
            <w:vAlign w:val="center"/>
          </w:tcPr>
          <w:p w14:paraId="129C1ADF" w14:textId="77777777" w:rsidR="00E655DD" w:rsidRDefault="00E655DD">
            <w:pPr>
              <w:jc w:val="center"/>
            </w:pPr>
            <w:r>
              <w:t>L6, M4</w:t>
            </w:r>
          </w:p>
          <w:p w14:paraId="09BF87CD" w14:textId="77777777" w:rsidR="00E655DD" w:rsidRDefault="00E655DD">
            <w:pPr>
              <w:jc w:val="center"/>
            </w:pPr>
            <w:r>
              <w:t>(27 bits)</w:t>
            </w:r>
          </w:p>
        </w:tc>
        <w:tc>
          <w:tcPr>
            <w:tcW w:w="0" w:type="auto"/>
            <w:shd w:val="clear" w:color="auto" w:fill="FFE599" w:themeFill="accent4" w:themeFillTint="66"/>
            <w:vAlign w:val="center"/>
          </w:tcPr>
          <w:p w14:paraId="13C96C16" w14:textId="77777777" w:rsidR="00E655DD" w:rsidRDefault="00E655DD">
            <w:pPr>
              <w:jc w:val="center"/>
            </w:pPr>
            <w:r>
              <w:t>L6, M8</w:t>
            </w:r>
          </w:p>
          <w:p w14:paraId="31444CB4" w14:textId="77777777" w:rsidR="00E655DD" w:rsidRDefault="00E655DD">
            <w:pPr>
              <w:jc w:val="center"/>
            </w:pPr>
            <w:r>
              <w:t>(28 bits)</w:t>
            </w:r>
          </w:p>
        </w:tc>
        <w:tc>
          <w:tcPr>
            <w:tcW w:w="0" w:type="auto"/>
            <w:shd w:val="clear" w:color="auto" w:fill="E2EFD9" w:themeFill="accent6" w:themeFillTint="33"/>
            <w:vAlign w:val="center"/>
          </w:tcPr>
          <w:p w14:paraId="243F5E86" w14:textId="77777777" w:rsidR="00E655DD" w:rsidRDefault="00E655DD">
            <w:pPr>
              <w:jc w:val="center"/>
            </w:pPr>
            <w:r>
              <w:t>32</w:t>
            </w:r>
          </w:p>
        </w:tc>
        <w:tc>
          <w:tcPr>
            <w:tcW w:w="0" w:type="auto"/>
            <w:shd w:val="clear" w:color="auto" w:fill="E2EFD9" w:themeFill="accent6" w:themeFillTint="33"/>
            <w:vAlign w:val="center"/>
          </w:tcPr>
          <w:p w14:paraId="2E19F8F2" w14:textId="77777777" w:rsidR="00E655DD" w:rsidRDefault="00E655DD">
            <w:pPr>
              <w:jc w:val="center"/>
            </w:pPr>
            <w:r>
              <w:t>64</w:t>
            </w:r>
          </w:p>
        </w:tc>
        <w:tc>
          <w:tcPr>
            <w:tcW w:w="0" w:type="auto"/>
            <w:shd w:val="clear" w:color="auto" w:fill="E2EFD9" w:themeFill="accent6" w:themeFillTint="33"/>
            <w:vAlign w:val="center"/>
          </w:tcPr>
          <w:p w14:paraId="35703395" w14:textId="77777777" w:rsidR="00E655DD" w:rsidRDefault="00E655DD">
            <w:pPr>
              <w:jc w:val="center"/>
            </w:pPr>
            <w:r>
              <w:t>128</w:t>
            </w:r>
          </w:p>
        </w:tc>
        <w:tc>
          <w:tcPr>
            <w:tcW w:w="0" w:type="auto"/>
            <w:shd w:val="clear" w:color="auto" w:fill="E2EFD9" w:themeFill="accent6" w:themeFillTint="33"/>
            <w:vAlign w:val="center"/>
          </w:tcPr>
          <w:p w14:paraId="2C77A289" w14:textId="77777777" w:rsidR="00E655DD" w:rsidRDefault="00E655DD">
            <w:pPr>
              <w:jc w:val="center"/>
            </w:pPr>
            <w:r>
              <w:t>256</w:t>
            </w:r>
          </w:p>
        </w:tc>
      </w:tr>
      <w:tr w:rsidR="00E655DD" w14:paraId="7FD0E403" w14:textId="77777777">
        <w:trPr>
          <w:trHeight w:val="459"/>
        </w:trPr>
        <w:tc>
          <w:tcPr>
            <w:tcW w:w="0" w:type="auto"/>
            <w:vAlign w:val="center"/>
          </w:tcPr>
          <w:p w14:paraId="05CAFA7E" w14:textId="77777777" w:rsidR="00E655DD" w:rsidRPr="00D3762D" w:rsidRDefault="00E655DD">
            <w:pPr>
              <w:jc w:val="center"/>
              <w:rPr>
                <w:b/>
              </w:rPr>
            </w:pPr>
            <w:r w:rsidRPr="00D3762D">
              <w:rPr>
                <w:b/>
              </w:rPr>
              <w:t>SGCS</w:t>
            </w:r>
          </w:p>
        </w:tc>
        <w:tc>
          <w:tcPr>
            <w:tcW w:w="0" w:type="auto"/>
            <w:shd w:val="clear" w:color="auto" w:fill="FFF2CC" w:themeFill="accent4" w:themeFillTint="33"/>
            <w:vAlign w:val="center"/>
          </w:tcPr>
          <w:p w14:paraId="56F87290" w14:textId="77777777" w:rsidR="00E655DD" w:rsidRDefault="00E655DD">
            <w:pPr>
              <w:jc w:val="center"/>
            </w:pPr>
            <w:r>
              <w:t>0.741</w:t>
            </w:r>
          </w:p>
        </w:tc>
        <w:tc>
          <w:tcPr>
            <w:tcW w:w="0" w:type="auto"/>
            <w:shd w:val="clear" w:color="auto" w:fill="FFF2CC" w:themeFill="accent4" w:themeFillTint="33"/>
            <w:vAlign w:val="center"/>
          </w:tcPr>
          <w:p w14:paraId="144FE066" w14:textId="77777777" w:rsidR="00E655DD" w:rsidRDefault="00E655DD">
            <w:pPr>
              <w:jc w:val="center"/>
            </w:pPr>
            <w:r>
              <w:t>0.8072</w:t>
            </w:r>
          </w:p>
        </w:tc>
        <w:tc>
          <w:tcPr>
            <w:tcW w:w="0" w:type="auto"/>
            <w:shd w:val="clear" w:color="auto" w:fill="FFF2CC" w:themeFill="accent4" w:themeFillTint="33"/>
            <w:vAlign w:val="center"/>
          </w:tcPr>
          <w:p w14:paraId="5760539D" w14:textId="77777777" w:rsidR="00E655DD" w:rsidRDefault="00E655DD">
            <w:pPr>
              <w:jc w:val="center"/>
            </w:pPr>
            <w:r>
              <w:t>0.857</w:t>
            </w:r>
          </w:p>
        </w:tc>
        <w:tc>
          <w:tcPr>
            <w:tcW w:w="0" w:type="auto"/>
            <w:shd w:val="clear" w:color="auto" w:fill="FFE599" w:themeFill="accent4" w:themeFillTint="66"/>
            <w:vAlign w:val="center"/>
          </w:tcPr>
          <w:p w14:paraId="25748E78" w14:textId="77777777" w:rsidR="00E655DD" w:rsidRDefault="00E655DD">
            <w:pPr>
              <w:jc w:val="center"/>
            </w:pPr>
            <w:r>
              <w:t>0.7801</w:t>
            </w:r>
          </w:p>
        </w:tc>
        <w:tc>
          <w:tcPr>
            <w:tcW w:w="0" w:type="auto"/>
            <w:shd w:val="clear" w:color="auto" w:fill="FFE599" w:themeFill="accent4" w:themeFillTint="66"/>
            <w:vAlign w:val="center"/>
          </w:tcPr>
          <w:p w14:paraId="038A62AC" w14:textId="77777777" w:rsidR="00E655DD" w:rsidRDefault="00E655DD">
            <w:pPr>
              <w:jc w:val="center"/>
            </w:pPr>
            <w:r>
              <w:t>0.8561</w:t>
            </w:r>
          </w:p>
        </w:tc>
        <w:tc>
          <w:tcPr>
            <w:tcW w:w="0" w:type="auto"/>
            <w:shd w:val="clear" w:color="auto" w:fill="FFE599" w:themeFill="accent4" w:themeFillTint="66"/>
            <w:vAlign w:val="center"/>
          </w:tcPr>
          <w:p w14:paraId="6EF80220" w14:textId="77777777" w:rsidR="00E655DD" w:rsidRDefault="00E655DD">
            <w:pPr>
              <w:jc w:val="center"/>
            </w:pPr>
            <w:r>
              <w:t>0.9143</w:t>
            </w:r>
          </w:p>
        </w:tc>
        <w:tc>
          <w:tcPr>
            <w:tcW w:w="0" w:type="auto"/>
            <w:shd w:val="clear" w:color="auto" w:fill="E2EFD9" w:themeFill="accent6" w:themeFillTint="33"/>
            <w:vAlign w:val="center"/>
          </w:tcPr>
          <w:p w14:paraId="3B7674D2" w14:textId="77777777" w:rsidR="00E655DD" w:rsidRDefault="00E655DD">
            <w:pPr>
              <w:jc w:val="center"/>
            </w:pPr>
            <w:r>
              <w:t>0.6742</w:t>
            </w:r>
          </w:p>
        </w:tc>
        <w:tc>
          <w:tcPr>
            <w:tcW w:w="0" w:type="auto"/>
            <w:shd w:val="clear" w:color="auto" w:fill="E2EFD9" w:themeFill="accent6" w:themeFillTint="33"/>
            <w:vAlign w:val="center"/>
          </w:tcPr>
          <w:p w14:paraId="4A6C650B" w14:textId="77777777" w:rsidR="00E655DD" w:rsidRDefault="00E655DD">
            <w:pPr>
              <w:jc w:val="center"/>
            </w:pPr>
            <w:r>
              <w:t>0.7428</w:t>
            </w:r>
          </w:p>
        </w:tc>
        <w:tc>
          <w:tcPr>
            <w:tcW w:w="0" w:type="auto"/>
            <w:shd w:val="clear" w:color="auto" w:fill="E2EFD9" w:themeFill="accent6" w:themeFillTint="33"/>
            <w:vAlign w:val="center"/>
          </w:tcPr>
          <w:p w14:paraId="3B6D3F26" w14:textId="77777777" w:rsidR="00E655DD" w:rsidRDefault="00E655DD">
            <w:pPr>
              <w:jc w:val="center"/>
            </w:pPr>
            <w:r>
              <w:t>0.8165</w:t>
            </w:r>
          </w:p>
        </w:tc>
        <w:tc>
          <w:tcPr>
            <w:tcW w:w="0" w:type="auto"/>
            <w:shd w:val="clear" w:color="auto" w:fill="E2EFD9" w:themeFill="accent6" w:themeFillTint="33"/>
            <w:vAlign w:val="center"/>
          </w:tcPr>
          <w:p w14:paraId="691C5AB6" w14:textId="77777777" w:rsidR="00E655DD" w:rsidRDefault="00E655DD">
            <w:pPr>
              <w:jc w:val="center"/>
            </w:pPr>
            <w:r>
              <w:t>0.8784</w:t>
            </w:r>
          </w:p>
        </w:tc>
      </w:tr>
    </w:tbl>
    <w:p w14:paraId="0BC83683" w14:textId="77777777" w:rsidR="00E655DD" w:rsidRPr="00885C7E" w:rsidRDefault="00E655DD" w:rsidP="00E655DD">
      <w:pPr>
        <w:pStyle w:val="Observation"/>
        <w:spacing w:before="120"/>
        <w:ind w:left="907"/>
        <w:rPr>
          <w:rStyle w:val="Strong"/>
          <w:b/>
          <w:bCs/>
        </w:rPr>
      </w:pPr>
      <w:bookmarkStart w:id="26" w:name="_Ref194072013"/>
      <w:r w:rsidRPr="00885C7E">
        <w:rPr>
          <w:rStyle w:val="Strong"/>
          <w:b/>
          <w:bCs/>
        </w:rPr>
        <w:t>Angle-delay approach may not be suitable for small payload regime considering that SD/FD bases selection would need 20+ bits.</w:t>
      </w:r>
      <w:bookmarkEnd w:id="26"/>
    </w:p>
    <w:p w14:paraId="1ADFF6F7" w14:textId="2E0ABB06" w:rsidR="00E655DD" w:rsidRDefault="00E655DD" w:rsidP="00E655DD">
      <w:r>
        <w:t xml:space="preserve">For dense urban dataset with 80% indoor UEs (3km/h speed) and 20% outdoor UEs (30km/h speed), we evaluated different NN designs for precoder representation in beam domain and beam-delay domain, and we observed that the best performance using these designs is worse compared with models in spatial </w:t>
      </w:r>
      <w:r>
        <w:lastRenderedPageBreak/>
        <w:t xml:space="preserve">domain. </w:t>
      </w:r>
      <w:r w:rsidR="004767D1">
        <w:fldChar w:fldCharType="begin"/>
      </w:r>
      <w:r w:rsidR="004767D1">
        <w:instrText xml:space="preserve"> REF _Ref193980156 \h </w:instrText>
      </w:r>
      <w:r w:rsidR="004767D1">
        <w:fldChar w:fldCharType="separate"/>
      </w:r>
      <w:r w:rsidR="00631423">
        <w:t xml:space="preserve">Figure </w:t>
      </w:r>
      <w:r w:rsidR="00631423">
        <w:rPr>
          <w:noProof/>
        </w:rPr>
        <w:t>4</w:t>
      </w:r>
      <w:r w:rsidR="00631423">
        <w:noBreakHyphen/>
      </w:r>
      <w:r w:rsidR="00631423">
        <w:rPr>
          <w:noProof/>
        </w:rPr>
        <w:t>3</w:t>
      </w:r>
      <w:r w:rsidR="004767D1">
        <w:fldChar w:fldCharType="end"/>
      </w:r>
      <w:r>
        <w:t xml:space="preserve">, shows the trade-off between complexity in terms of model size and the </w:t>
      </w:r>
      <w:r w:rsidR="001A325D">
        <w:t>gain</w:t>
      </w:r>
      <w:r>
        <w:t xml:space="preserve"> observed when comparing with </w:t>
      </w:r>
      <w:r w:rsidR="001A325D">
        <w:t>Rel-16 etypeII</w:t>
      </w:r>
      <w:r>
        <w:t xml:space="preserve"> baseline for payload size of 64 bits.  From the figure, we observe that by optimizing the TF design in spatial-frequency domain we can achieve a better trade-off between performance and model size. The best observed SGCS using beam-domain for 64 bits is worse compared with a spatial-domain model assuming same model size. </w:t>
      </w:r>
    </w:p>
    <w:p w14:paraId="1D121E20" w14:textId="57123161" w:rsidR="00E655DD" w:rsidRDefault="00E454A1" w:rsidP="00E655DD">
      <w:pPr>
        <w:jc w:val="center"/>
      </w:pPr>
      <w:r>
        <w:rPr>
          <w:noProof/>
        </w:rPr>
        <w:drawing>
          <wp:inline distT="0" distB="0" distL="0" distR="0" wp14:anchorId="16CB3B07" wp14:editId="11E0D27D">
            <wp:extent cx="4006850" cy="2973427"/>
            <wp:effectExtent l="0" t="0" r="0" b="0"/>
            <wp:docPr id="32206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20384" cy="2983470"/>
                    </a:xfrm>
                    <a:prstGeom prst="rect">
                      <a:avLst/>
                    </a:prstGeom>
                    <a:noFill/>
                  </pic:spPr>
                </pic:pic>
              </a:graphicData>
            </a:graphic>
          </wp:inline>
        </w:drawing>
      </w:r>
    </w:p>
    <w:p w14:paraId="5B1A7489" w14:textId="65C97DC8" w:rsidR="00E655DD" w:rsidRDefault="00E655DD" w:rsidP="00E655DD">
      <w:pPr>
        <w:pStyle w:val="Caption"/>
      </w:pPr>
      <w:bookmarkStart w:id="27" w:name="_Ref193980156"/>
      <w:r>
        <w:t xml:space="preserve">Figure </w:t>
      </w:r>
      <w:r w:rsidR="00D67F58">
        <w:fldChar w:fldCharType="begin"/>
      </w:r>
      <w:r w:rsidR="00D67F58">
        <w:instrText xml:space="preserve"> STYLEREF 1 \s </w:instrText>
      </w:r>
      <w:r w:rsidR="00D67F58">
        <w:fldChar w:fldCharType="separate"/>
      </w:r>
      <w:r w:rsidR="00631423">
        <w:rPr>
          <w:noProof/>
        </w:rPr>
        <w:t>4</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3</w:t>
      </w:r>
      <w:r w:rsidR="00D67F58">
        <w:fldChar w:fldCharType="end"/>
      </w:r>
      <w:bookmarkEnd w:id="27"/>
      <w:r>
        <w:t xml:space="preserve"> trade-off between model size and SGCS </w:t>
      </w:r>
      <w:r w:rsidR="00847872">
        <w:t>gain</w:t>
      </w:r>
      <w:r>
        <w:t xml:space="preserve"> compared with </w:t>
      </w:r>
      <w:r w:rsidR="00847872">
        <w:t xml:space="preserve">etypeII </w:t>
      </w:r>
      <w:r>
        <w:t>baseline</w:t>
      </w:r>
    </w:p>
    <w:p w14:paraId="40C12E84" w14:textId="4B7C6D88" w:rsidR="006D73D6" w:rsidRDefault="00B5303E" w:rsidP="00E655DD">
      <w:pPr>
        <w:pStyle w:val="Observation"/>
        <w:rPr>
          <w:rStyle w:val="Strong"/>
          <w:b/>
          <w:bCs/>
        </w:rPr>
      </w:pPr>
      <w:bookmarkStart w:id="28" w:name="_Ref194072019"/>
      <w:r>
        <w:rPr>
          <w:rStyle w:val="Strong"/>
          <w:b/>
          <w:bCs/>
        </w:rPr>
        <w:t>Minor performance degradation</w:t>
      </w:r>
      <w:r w:rsidR="00EF1EEC">
        <w:rPr>
          <w:rStyle w:val="Strong"/>
          <w:b/>
          <w:bCs/>
        </w:rPr>
        <w:t xml:space="preserve"> (-3%)</w:t>
      </w:r>
      <w:r>
        <w:rPr>
          <w:rStyle w:val="Strong"/>
          <w:b/>
          <w:bCs/>
        </w:rPr>
        <w:t xml:space="preserve"> </w:t>
      </w:r>
      <w:r w:rsidR="0085119C">
        <w:rPr>
          <w:rStyle w:val="Strong"/>
          <w:b/>
          <w:bCs/>
        </w:rPr>
        <w:t>is obser</w:t>
      </w:r>
      <w:r w:rsidR="00147A38">
        <w:rPr>
          <w:rStyle w:val="Strong"/>
          <w:b/>
          <w:bCs/>
        </w:rPr>
        <w:t xml:space="preserve">ved </w:t>
      </w:r>
      <w:r w:rsidR="00A736B3">
        <w:rPr>
          <w:rStyle w:val="Strong"/>
          <w:b/>
          <w:bCs/>
        </w:rPr>
        <w:t>by reducing the model size 3 times (from 300k + parameter to 100k) for spatial-frequency domain.</w:t>
      </w:r>
      <w:bookmarkEnd w:id="28"/>
    </w:p>
    <w:p w14:paraId="074155C5" w14:textId="24841A0E" w:rsidR="00E655DD" w:rsidRPr="004E37A9" w:rsidRDefault="00E655DD" w:rsidP="00E655DD">
      <w:pPr>
        <w:pStyle w:val="Observation"/>
        <w:rPr>
          <w:rStyle w:val="Strong"/>
          <w:b/>
          <w:bCs/>
        </w:rPr>
      </w:pPr>
      <w:bookmarkStart w:id="29" w:name="_Ref194072034"/>
      <w:r w:rsidRPr="004E37A9">
        <w:rPr>
          <w:rStyle w:val="Strong"/>
          <w:b/>
          <w:bCs/>
        </w:rPr>
        <w:t>Complexity reduction by representing the precoder in angle-delay domain incurs non-trivial performance degradation in addition to extra payload of SD bases reporting.</w:t>
      </w:r>
      <w:bookmarkEnd w:id="29"/>
    </w:p>
    <w:p w14:paraId="70840EE0" w14:textId="79FD8C12" w:rsidR="00E655DD" w:rsidRPr="004E37A9" w:rsidRDefault="00E655DD" w:rsidP="00E655DD">
      <w:pPr>
        <w:pStyle w:val="Observation"/>
        <w:rPr>
          <w:rStyle w:val="Strong"/>
          <w:b/>
          <w:bCs/>
        </w:rPr>
      </w:pPr>
      <w:bookmarkStart w:id="30" w:name="_Ref194072043"/>
      <w:r w:rsidRPr="004E37A9">
        <w:rPr>
          <w:rStyle w:val="Strong"/>
          <w:b/>
          <w:bCs/>
        </w:rPr>
        <w:t>Under similar model size, complexity reduction via NN architecture optimization yields less performance degradation than angle-delay domain approach</w:t>
      </w:r>
      <w:bookmarkEnd w:id="30"/>
      <w:r w:rsidRPr="004E37A9">
        <w:rPr>
          <w:rStyle w:val="Strong"/>
          <w:b/>
          <w:bCs/>
        </w:rPr>
        <w:t xml:space="preserve"> </w:t>
      </w:r>
    </w:p>
    <w:p w14:paraId="153B9CF1" w14:textId="77777777" w:rsidR="00E655DD" w:rsidRDefault="00E655DD" w:rsidP="00E655DD">
      <w:pPr>
        <w:pStyle w:val="Proposal"/>
      </w:pPr>
      <w:bookmarkStart w:id="31" w:name="_Ref194072385"/>
      <w:r w:rsidRPr="00252F66">
        <w:t>Complexity reduction is possible in the Transformer-based design with spatial-frequency domain input.</w:t>
      </w:r>
      <w:bookmarkEnd w:id="31"/>
      <w:r w:rsidRPr="00252F66">
        <w:t xml:space="preserve"> </w:t>
      </w:r>
    </w:p>
    <w:p w14:paraId="2B007CE1" w14:textId="632F5E83" w:rsidR="00E655DD" w:rsidRDefault="00E655DD" w:rsidP="00E655DD">
      <w:pPr>
        <w:pStyle w:val="Proposal"/>
      </w:pPr>
      <w:bookmarkStart w:id="32" w:name="_Ref194072391"/>
      <w:r>
        <w:t>Complexity reduction in s</w:t>
      </w:r>
      <w:r w:rsidRPr="00252F66">
        <w:t>patial-frequency domain</w:t>
      </w:r>
      <w:r>
        <w:t xml:space="preserve"> should be prioritized as it</w:t>
      </w:r>
      <w:r w:rsidRPr="00252F66">
        <w:t xml:space="preserve"> has better complexity/performance trade</w:t>
      </w:r>
      <w:r w:rsidR="00796CD6">
        <w:t>-</w:t>
      </w:r>
      <w:r w:rsidRPr="00252F66">
        <w:t xml:space="preserve">off than </w:t>
      </w:r>
      <w:r>
        <w:t xml:space="preserve">using </w:t>
      </w:r>
      <w:r w:rsidRPr="00252F66">
        <w:t>angular-delay domain</w:t>
      </w:r>
      <w:r>
        <w:t xml:space="preserve"> as</w:t>
      </w:r>
      <w:r w:rsidRPr="00252F66">
        <w:t xml:space="preserve"> input</w:t>
      </w:r>
      <w:r>
        <w:t>.</w:t>
      </w:r>
      <w:bookmarkEnd w:id="32"/>
    </w:p>
    <w:p w14:paraId="4CC38779" w14:textId="77777777" w:rsidR="00E655DD" w:rsidRDefault="00E655DD" w:rsidP="00E655DD">
      <w:pPr>
        <w:pStyle w:val="Heading2"/>
      </w:pPr>
      <w:r>
        <w:t xml:space="preserve">Discussion on complexity of ML CSF and eTypeII </w:t>
      </w:r>
    </w:p>
    <w:p w14:paraId="04310E98" w14:textId="1AC36951" w:rsidR="00E655DD" w:rsidRPr="00C70228" w:rsidRDefault="00E655DD" w:rsidP="00E655DD">
      <w:r>
        <w:t xml:space="preserve">To better understand the relationship between FLOPs count and CSF processing latency, we measured the inference latency of our implementation of eType2 and Transformer-based CSI encoder. The latency we measured is the </w:t>
      </w:r>
      <w:r w:rsidRPr="00344346">
        <w:rPr>
          <w:b/>
          <w:bCs/>
        </w:rPr>
        <w:t>actual inference latency</w:t>
      </w:r>
      <w:r>
        <w:t xml:space="preserve"> of the eType2 and Transformer-based CSI encoder implementation </w:t>
      </w:r>
      <w:r w:rsidRPr="00344346">
        <w:rPr>
          <w:b/>
          <w:bCs/>
        </w:rPr>
        <w:t>on our target HW/FW</w:t>
      </w:r>
      <w:r>
        <w:t xml:space="preserve">. The Transformer-based CSI encoder is the same design that we use for RAN1 evaluations, except that its activation dimensions were scaled down proportionally from 32 CSI-RS ports to 8 CSI-RS ports. </w:t>
      </w:r>
      <w:r w:rsidR="00DA268E">
        <w:fldChar w:fldCharType="begin"/>
      </w:r>
      <w:r w:rsidR="00DA268E">
        <w:instrText xml:space="preserve"> REF _Ref193981121 \h </w:instrText>
      </w:r>
      <w:r w:rsidR="00DA268E">
        <w:fldChar w:fldCharType="separate"/>
      </w:r>
      <w:r w:rsidR="00631423">
        <w:t xml:space="preserve">Table </w:t>
      </w:r>
      <w:r w:rsidR="00631423">
        <w:rPr>
          <w:noProof/>
        </w:rPr>
        <w:t>4</w:t>
      </w:r>
      <w:r w:rsidR="00631423">
        <w:noBreakHyphen/>
      </w:r>
      <w:r w:rsidR="00631423">
        <w:rPr>
          <w:noProof/>
        </w:rPr>
        <w:t>2</w:t>
      </w:r>
      <w:r w:rsidR="00DA268E">
        <w:fldChar w:fldCharType="end"/>
      </w:r>
      <w:r>
        <w:t xml:space="preserve"> below shows the FLOP counts and the inference latency of our eTypeII and Transformer-based CSI encoder implementations.</w:t>
      </w:r>
    </w:p>
    <w:p w14:paraId="69098454" w14:textId="47064CE1" w:rsidR="00E655DD" w:rsidRPr="002575C9" w:rsidRDefault="00E655DD" w:rsidP="00E655DD">
      <w:pPr>
        <w:pStyle w:val="Caption"/>
      </w:pPr>
      <w:bookmarkStart w:id="33" w:name="_Ref193981121"/>
      <w:r>
        <w:t xml:space="preserve">Table </w:t>
      </w:r>
      <w:r w:rsidR="0070386D">
        <w:fldChar w:fldCharType="begin"/>
      </w:r>
      <w:r w:rsidR="0070386D">
        <w:instrText xml:space="preserve"> STYLEREF 1 \s </w:instrText>
      </w:r>
      <w:r w:rsidR="0070386D">
        <w:fldChar w:fldCharType="separate"/>
      </w:r>
      <w:r w:rsidR="00631423">
        <w:rPr>
          <w:noProof/>
        </w:rPr>
        <w:t>4</w:t>
      </w:r>
      <w:r w:rsidR="0070386D">
        <w:fldChar w:fldCharType="end"/>
      </w:r>
      <w:r w:rsidR="0070386D">
        <w:noBreakHyphen/>
      </w:r>
      <w:r w:rsidR="0070386D">
        <w:fldChar w:fldCharType="begin"/>
      </w:r>
      <w:r w:rsidR="0070386D">
        <w:instrText xml:space="preserve"> SEQ Table \* ARABIC \s 1 </w:instrText>
      </w:r>
      <w:r w:rsidR="0070386D">
        <w:fldChar w:fldCharType="separate"/>
      </w:r>
      <w:r w:rsidR="00631423">
        <w:rPr>
          <w:noProof/>
        </w:rPr>
        <w:t>2</w:t>
      </w:r>
      <w:r w:rsidR="0070386D">
        <w:fldChar w:fldCharType="end"/>
      </w:r>
      <w:bookmarkEnd w:id="33"/>
      <w:r>
        <w:t xml:space="preserve"> Comparison between etypeII and ML CSF for FLOPs and latency</w:t>
      </w:r>
    </w:p>
    <w:tbl>
      <w:tblPr>
        <w:tblStyle w:val="TableGrid"/>
        <w:tblW w:w="0" w:type="auto"/>
        <w:jc w:val="center"/>
        <w:tblLook w:val="04A0" w:firstRow="1" w:lastRow="0" w:firstColumn="1" w:lastColumn="0" w:noHBand="0" w:noVBand="1"/>
      </w:tblPr>
      <w:tblGrid>
        <w:gridCol w:w="2035"/>
        <w:gridCol w:w="2909"/>
        <w:gridCol w:w="1621"/>
        <w:gridCol w:w="2785"/>
      </w:tblGrid>
      <w:tr w:rsidR="00E655DD" w14:paraId="028C823C" w14:textId="77777777">
        <w:trPr>
          <w:jc w:val="center"/>
        </w:trPr>
        <w:tc>
          <w:tcPr>
            <w:tcW w:w="0" w:type="auto"/>
            <w:vAlign w:val="center"/>
          </w:tcPr>
          <w:p w14:paraId="2D2683AD" w14:textId="77777777" w:rsidR="00E655DD" w:rsidRPr="001D1F98" w:rsidRDefault="00E655DD">
            <w:pPr>
              <w:spacing w:after="0"/>
              <w:jc w:val="center"/>
              <w:rPr>
                <w:b/>
              </w:rPr>
            </w:pPr>
            <w:r>
              <w:rPr>
                <w:b/>
                <w:bCs/>
              </w:rPr>
              <w:lastRenderedPageBreak/>
              <w:t>Setting</w:t>
            </w:r>
          </w:p>
        </w:tc>
        <w:tc>
          <w:tcPr>
            <w:tcW w:w="2909" w:type="dxa"/>
            <w:vAlign w:val="center"/>
          </w:tcPr>
          <w:p w14:paraId="399652AC" w14:textId="77777777" w:rsidR="00E655DD" w:rsidRPr="001D1F98" w:rsidRDefault="00E655DD">
            <w:pPr>
              <w:spacing w:after="0"/>
              <w:jc w:val="center"/>
              <w:rPr>
                <w:b/>
                <w:bCs/>
              </w:rPr>
            </w:pPr>
            <w:r w:rsidRPr="001D1F98">
              <w:rPr>
                <w:b/>
                <w:bCs/>
              </w:rPr>
              <w:t>Method</w:t>
            </w:r>
          </w:p>
        </w:tc>
        <w:tc>
          <w:tcPr>
            <w:tcW w:w="1621" w:type="dxa"/>
            <w:vAlign w:val="center"/>
          </w:tcPr>
          <w:p w14:paraId="56EE6D9F" w14:textId="77777777" w:rsidR="00E655DD" w:rsidRPr="001D1F98" w:rsidRDefault="00E655DD">
            <w:pPr>
              <w:spacing w:after="0"/>
              <w:jc w:val="center"/>
              <w:rPr>
                <w:b/>
              </w:rPr>
            </w:pPr>
            <w:r w:rsidRPr="001D1F98">
              <w:rPr>
                <w:b/>
              </w:rPr>
              <w:t>FLOPs count</w:t>
            </w:r>
          </w:p>
        </w:tc>
        <w:tc>
          <w:tcPr>
            <w:tcW w:w="2785" w:type="dxa"/>
            <w:vAlign w:val="center"/>
          </w:tcPr>
          <w:p w14:paraId="13F03E23" w14:textId="77777777" w:rsidR="00E655DD" w:rsidRDefault="00E655DD">
            <w:pPr>
              <w:spacing w:after="0"/>
              <w:jc w:val="center"/>
              <w:rPr>
                <w:b/>
                <w:bCs/>
              </w:rPr>
            </w:pPr>
            <w:r>
              <w:rPr>
                <w:b/>
                <w:bCs/>
              </w:rPr>
              <w:t>Relative latency</w:t>
            </w:r>
          </w:p>
        </w:tc>
      </w:tr>
      <w:tr w:rsidR="00E655DD" w14:paraId="27F13844" w14:textId="77777777">
        <w:trPr>
          <w:jc w:val="center"/>
        </w:trPr>
        <w:tc>
          <w:tcPr>
            <w:tcW w:w="0" w:type="auto"/>
            <w:vMerge w:val="restart"/>
            <w:vAlign w:val="center"/>
          </w:tcPr>
          <w:p w14:paraId="636CF024" w14:textId="77777777" w:rsidR="00E655DD" w:rsidRDefault="00E655DD">
            <w:pPr>
              <w:spacing w:after="0"/>
              <w:jc w:val="center"/>
            </w:pPr>
            <w:r>
              <w:t>8 ports, 50 RBs, rank4</w:t>
            </w:r>
          </w:p>
        </w:tc>
        <w:tc>
          <w:tcPr>
            <w:tcW w:w="2909" w:type="dxa"/>
            <w:vAlign w:val="center"/>
          </w:tcPr>
          <w:p w14:paraId="654585B2" w14:textId="77777777" w:rsidR="00E655DD" w:rsidRDefault="00E655DD">
            <w:pPr>
              <w:spacing w:after="0"/>
              <w:jc w:val="center"/>
            </w:pPr>
            <w:r>
              <w:t>etypeII codebook</w:t>
            </w:r>
          </w:p>
        </w:tc>
        <w:tc>
          <w:tcPr>
            <w:tcW w:w="1621" w:type="dxa"/>
            <w:vAlign w:val="center"/>
          </w:tcPr>
          <w:p w14:paraId="3726EEBB" w14:textId="77777777" w:rsidR="00E655DD" w:rsidRDefault="00E655DD">
            <w:pPr>
              <w:spacing w:after="0"/>
              <w:jc w:val="center"/>
            </w:pPr>
            <w:r>
              <w:t>~40k</w:t>
            </w:r>
          </w:p>
        </w:tc>
        <w:tc>
          <w:tcPr>
            <w:tcW w:w="2785" w:type="dxa"/>
            <w:vAlign w:val="center"/>
          </w:tcPr>
          <w:p w14:paraId="6BA15971" w14:textId="77777777" w:rsidR="00E655DD" w:rsidRDefault="00E655DD">
            <w:pPr>
              <w:spacing w:after="0"/>
              <w:jc w:val="center"/>
            </w:pPr>
            <w:r>
              <w:t>-</w:t>
            </w:r>
          </w:p>
        </w:tc>
      </w:tr>
      <w:tr w:rsidR="00E655DD" w14:paraId="0E49BB4E" w14:textId="77777777">
        <w:trPr>
          <w:jc w:val="center"/>
        </w:trPr>
        <w:tc>
          <w:tcPr>
            <w:tcW w:w="0" w:type="auto"/>
            <w:vMerge/>
            <w:vAlign w:val="center"/>
          </w:tcPr>
          <w:p w14:paraId="6C08580D" w14:textId="77777777" w:rsidR="00E655DD" w:rsidRDefault="00E655DD">
            <w:pPr>
              <w:spacing w:after="0"/>
              <w:jc w:val="center"/>
            </w:pPr>
          </w:p>
        </w:tc>
        <w:tc>
          <w:tcPr>
            <w:tcW w:w="2909" w:type="dxa"/>
            <w:vAlign w:val="center"/>
          </w:tcPr>
          <w:p w14:paraId="1726D247" w14:textId="77777777" w:rsidR="00E655DD" w:rsidRDefault="00E655DD">
            <w:pPr>
              <w:spacing w:after="0"/>
              <w:jc w:val="center"/>
            </w:pPr>
            <w:r>
              <w:t>Transformer-based CSI encoder</w:t>
            </w:r>
          </w:p>
        </w:tc>
        <w:tc>
          <w:tcPr>
            <w:tcW w:w="1621" w:type="dxa"/>
            <w:vAlign w:val="center"/>
          </w:tcPr>
          <w:p w14:paraId="475DA278" w14:textId="77777777" w:rsidR="00E655DD" w:rsidRDefault="00E655DD">
            <w:pPr>
              <w:spacing w:after="0"/>
              <w:jc w:val="center"/>
            </w:pPr>
            <w:r>
              <w:t>~600k</w:t>
            </w:r>
          </w:p>
        </w:tc>
        <w:tc>
          <w:tcPr>
            <w:tcW w:w="2785" w:type="dxa"/>
            <w:vAlign w:val="center"/>
          </w:tcPr>
          <w:p w14:paraId="6E2EA3AB" w14:textId="77777777" w:rsidR="00E655DD" w:rsidRDefault="00E655DD">
            <w:pPr>
              <w:spacing w:after="0"/>
              <w:jc w:val="center"/>
            </w:pPr>
            <w:r>
              <w:t>20-30% lower than eTypeII</w:t>
            </w:r>
          </w:p>
        </w:tc>
      </w:tr>
    </w:tbl>
    <w:p w14:paraId="3DA34D44" w14:textId="3CD0B4A2" w:rsidR="00E655DD" w:rsidRDefault="00E655DD" w:rsidP="00E655DD">
      <w:pPr>
        <w:spacing w:before="120"/>
      </w:pPr>
      <w:r>
        <w:t xml:space="preserve">From the table, we observed that ML FLOPs count is 15x times higher compared with etypeII, however, ML can achieve 20-30% latency reduction compared with etypeII, as summarized in </w:t>
      </w:r>
      <w:r w:rsidR="008E7B07">
        <w:fldChar w:fldCharType="begin"/>
      </w:r>
      <w:r w:rsidR="008E7B07">
        <w:instrText xml:space="preserve"> REF _Ref193981121 \h </w:instrText>
      </w:r>
      <w:r w:rsidR="008E7B07">
        <w:fldChar w:fldCharType="separate"/>
      </w:r>
      <w:r w:rsidR="00631423">
        <w:t xml:space="preserve">Table </w:t>
      </w:r>
      <w:r w:rsidR="00631423">
        <w:rPr>
          <w:noProof/>
        </w:rPr>
        <w:t>4</w:t>
      </w:r>
      <w:r w:rsidR="00631423">
        <w:noBreakHyphen/>
      </w:r>
      <w:r w:rsidR="00631423">
        <w:rPr>
          <w:noProof/>
        </w:rPr>
        <w:t>2</w:t>
      </w:r>
      <w:r w:rsidR="008E7B07">
        <w:fldChar w:fldCharType="end"/>
      </w:r>
      <w:r>
        <w:t>. This is because ML processing is mostly matrix-vector operations which can be accelerated in HW/FW with high degree of parallelization, whereas etypeII involves other types of operations such as sorting, quantization, etc. that are hard to accelerate, less parallelizable, and consumes a lot more cycles compared to matrix-vector operations per FLOP. It is understood that the latency for ML/etypeII processing depends on the chosen HW/FW implementation, however, it is worth pointing out that matrix operations can be efficiently implemented, and it constitute most of the FLOPs in ML CSF.</w:t>
      </w:r>
    </w:p>
    <w:p w14:paraId="26090079" w14:textId="77777777" w:rsidR="00BB260D" w:rsidRDefault="00E655DD" w:rsidP="00BB260D">
      <w:pPr>
        <w:pStyle w:val="Observation"/>
        <w:rPr>
          <w:rStyle w:val="Strong"/>
          <w:b/>
          <w:bCs/>
        </w:rPr>
      </w:pPr>
      <w:bookmarkStart w:id="34" w:name="_Ref194072052"/>
      <w:r w:rsidRPr="00DB4FE2">
        <w:rPr>
          <w:rStyle w:val="Strong"/>
          <w:b/>
          <w:bCs/>
        </w:rPr>
        <w:t xml:space="preserve">A case study on the FLOPs and latency for ML CSF and etypeII computations, shows that even </w:t>
      </w:r>
      <w:r>
        <w:rPr>
          <w:rStyle w:val="Strong"/>
          <w:b/>
          <w:bCs/>
        </w:rPr>
        <w:t>though</w:t>
      </w:r>
      <w:r w:rsidRPr="00DB4FE2">
        <w:rPr>
          <w:rStyle w:val="Strong"/>
          <w:b/>
          <w:bCs/>
        </w:rPr>
        <w:t xml:space="preserve"> ML FLOPs count is </w:t>
      </w:r>
      <w:r>
        <w:rPr>
          <w:rStyle w:val="Strong"/>
          <w:b/>
          <w:bCs/>
        </w:rPr>
        <w:t>16x times</w:t>
      </w:r>
      <w:r w:rsidRPr="00DB4FE2">
        <w:rPr>
          <w:rStyle w:val="Strong"/>
          <w:b/>
          <w:bCs/>
        </w:rPr>
        <w:t xml:space="preserve"> higher, ML can achieve 20-30% latency reduction compared with etypeII. The reason is that matrix operations can be efficiently implemented, and it constitute most of the FLOPs in ML CSF.</w:t>
      </w:r>
      <w:bookmarkEnd w:id="34"/>
    </w:p>
    <w:p w14:paraId="57337B07" w14:textId="552C781E" w:rsidR="008E7B07" w:rsidRPr="00BB260D" w:rsidRDefault="008E7B07" w:rsidP="002D25BB">
      <w:pPr>
        <w:pStyle w:val="Proposal"/>
      </w:pPr>
      <w:bookmarkStart w:id="35" w:name="_Ref194072401"/>
      <w:r w:rsidRPr="00BB260D">
        <w:t>Capture observation</w:t>
      </w:r>
      <w:r w:rsidR="0036100A" w:rsidRPr="00BB260D">
        <w:t xml:space="preserve"> 9-12 in the TR.</w:t>
      </w:r>
      <w:bookmarkEnd w:id="35"/>
    </w:p>
    <w:p w14:paraId="7132A020" w14:textId="55BD69DD" w:rsidR="000018C1" w:rsidRDefault="000018C1" w:rsidP="00D70B54">
      <w:pPr>
        <w:pStyle w:val="Heading1"/>
      </w:pPr>
      <w:r>
        <w:t>Performance monitoring</w:t>
      </w:r>
    </w:p>
    <w:p w14:paraId="35EC334A" w14:textId="0E8E7B4A" w:rsidR="00CA5B11" w:rsidRDefault="00CA5B11" w:rsidP="00CA5B11">
      <w:r>
        <w:t xml:space="preserve">In RAN1 #116-bis meeting, as a continue study of performance monitoring approaches, several methods of NW side monitoring and UE side monitoring were listed. Furthermore, it was also agreed to study whether performance monitoring approaches can help identifying the cause of the performance degradation, e.g., whether it is due to UE side model, NW side model, or data drift, etc. </w:t>
      </w:r>
      <w:r w:rsidR="00C01CB2">
        <w:t xml:space="preserve">In the last meeting (RAN1 #120), it has been concluded that </w:t>
      </w:r>
      <w:r w:rsidR="005659EB">
        <w:t xml:space="preserve">root cause identification can be </w:t>
      </w:r>
      <w:r w:rsidR="00EC7956">
        <w:t xml:space="preserve">resolved by NW side monitoring with ground-truth request. In this meeting, we will elaborate </w:t>
      </w:r>
      <w:r w:rsidR="00DF69BC">
        <w:t>general philosophy regarding UE capability</w:t>
      </w:r>
      <w:r w:rsidR="00F00999">
        <w:t xml:space="preserve"> and the remaining issues on the monitoring accuracy</w:t>
      </w:r>
      <w:r w:rsidR="00DF69BC">
        <w:t>.</w:t>
      </w:r>
    </w:p>
    <w:tbl>
      <w:tblPr>
        <w:tblStyle w:val="TableGrid"/>
        <w:tblW w:w="0" w:type="auto"/>
        <w:tblLook w:val="04A0" w:firstRow="1" w:lastRow="0" w:firstColumn="1" w:lastColumn="0" w:noHBand="0" w:noVBand="1"/>
      </w:tblPr>
      <w:tblGrid>
        <w:gridCol w:w="9350"/>
      </w:tblGrid>
      <w:tr w:rsidR="00CA5B11" w14:paraId="2B25102B" w14:textId="77777777">
        <w:tc>
          <w:tcPr>
            <w:tcW w:w="9350" w:type="dxa"/>
          </w:tcPr>
          <w:p w14:paraId="41787600" w14:textId="37818B44" w:rsidR="00CA5B11" w:rsidRPr="00F464C1" w:rsidRDefault="00CA5B11">
            <w:pPr>
              <w:rPr>
                <w:highlight w:val="green"/>
              </w:rPr>
            </w:pPr>
            <w:r w:rsidRPr="00F464C1">
              <w:rPr>
                <w:rFonts w:eastAsia="DengXian" w:hint="eastAsia"/>
                <w:highlight w:val="green"/>
                <w:lang w:eastAsia="zh-CN"/>
              </w:rPr>
              <w:t>Agreement</w:t>
            </w:r>
            <w:r w:rsidR="00E979A5">
              <w:rPr>
                <w:rFonts w:eastAsia="DengXian"/>
                <w:highlight w:val="green"/>
                <w:lang w:eastAsia="zh-CN"/>
              </w:rPr>
              <w:t xml:space="preserve"> (RAN1 #116-bis)</w:t>
            </w:r>
          </w:p>
          <w:p w14:paraId="4553A8DA" w14:textId="77777777" w:rsidR="00CA5B11" w:rsidRDefault="00CA5B11">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32349F9E" w14:textId="3CAA87E8" w:rsidR="00E979A5" w:rsidRDefault="00E979A5" w:rsidP="00E979A5">
            <w:pPr>
              <w:rPr>
                <w:rFonts w:eastAsia="DengXian"/>
                <w:lang w:eastAsia="zh-CN"/>
              </w:rPr>
            </w:pPr>
            <w:r w:rsidRPr="00E979A5">
              <w:rPr>
                <w:rFonts w:eastAsia="DengXian" w:hint="eastAsia"/>
                <w:highlight w:val="yellow"/>
                <w:lang w:eastAsia="zh-CN"/>
              </w:rPr>
              <w:t>Conclusion</w:t>
            </w:r>
            <w:r w:rsidRPr="00E979A5">
              <w:rPr>
                <w:rFonts w:eastAsia="DengXian"/>
                <w:highlight w:val="yellow"/>
                <w:lang w:eastAsia="zh-CN"/>
              </w:rPr>
              <w:t xml:space="preserve"> (RAN1 #120)</w:t>
            </w:r>
          </w:p>
          <w:p w14:paraId="27DC4B5D" w14:textId="77777777" w:rsidR="00E979A5" w:rsidRPr="00881AC8" w:rsidRDefault="00E979A5" w:rsidP="00E979A5">
            <w:pPr>
              <w:rPr>
                <w:rFonts w:ascii="Aptos" w:hAnsi="Aptos" w:cs="Helvetica"/>
                <w:lang w:eastAsia="ko-KR"/>
              </w:rPr>
            </w:pPr>
            <w:r w:rsidRPr="00881AC8">
              <w:rPr>
                <w:lang w:eastAsia="ko-KR"/>
              </w:rPr>
              <w:t xml:space="preserve">For NW-first training, in inter-vendor training collaboration </w:t>
            </w:r>
            <w:r w:rsidRPr="003E4436">
              <w:rPr>
                <w:color w:val="0070C0"/>
                <w:lang w:eastAsia="ko-KR"/>
              </w:rPr>
              <w:t>Direction A and C</w:t>
            </w:r>
            <w:r w:rsidRPr="00881AC8">
              <w:rPr>
                <w:lang w:eastAsia="ko-KR"/>
              </w:rPr>
              <w:t xml:space="preserve">, </w:t>
            </w:r>
            <w:r>
              <w:rPr>
                <w:rFonts w:eastAsia="DengXian" w:hint="eastAsia"/>
                <w:lang w:eastAsia="zh-CN"/>
              </w:rPr>
              <w:t xml:space="preserve">identification of </w:t>
            </w:r>
            <w:r w:rsidRPr="00881AC8">
              <w:rPr>
                <w:lang w:eastAsia="ko-KR"/>
              </w:rPr>
              <w:t xml:space="preserve">root cause </w:t>
            </w:r>
            <w:r>
              <w:rPr>
                <w:rFonts w:eastAsia="DengXian" w:hint="eastAsia"/>
                <w:lang w:eastAsia="zh-CN"/>
              </w:rPr>
              <w:t xml:space="preserve">for performance issues </w:t>
            </w:r>
            <w:r w:rsidRPr="00881AC8">
              <w:rPr>
                <w:lang w:eastAsia="ko-KR"/>
              </w:rPr>
              <w:t>can be achieved at least by </w:t>
            </w:r>
            <w:r w:rsidRPr="00881AC8">
              <w:rPr>
                <w:color w:val="FF0000"/>
                <w:lang w:eastAsia="ko-KR"/>
              </w:rPr>
              <w:t>the following </w:t>
            </w:r>
          </w:p>
          <w:p w14:paraId="4943F5E4" w14:textId="77777777" w:rsidR="00E979A5" w:rsidRPr="00881AC8" w:rsidRDefault="00E979A5" w:rsidP="004A2378">
            <w:pPr>
              <w:numPr>
                <w:ilvl w:val="0"/>
                <w:numId w:val="19"/>
              </w:numPr>
              <w:tabs>
                <w:tab w:val="num" w:pos="720"/>
              </w:tabs>
              <w:spacing w:after="0"/>
              <w:jc w:val="left"/>
              <w:rPr>
                <w:rFonts w:ascii="Aptos" w:eastAsia="Times New Roman" w:hAnsi="Aptos" w:cs="Helvetica"/>
                <w:color w:val="FF0000"/>
                <w:lang w:eastAsia="ko-KR"/>
              </w:rPr>
            </w:pPr>
            <w:r w:rsidRPr="00881AC8">
              <w:rPr>
                <w:rFonts w:eastAsia="Times New Roman"/>
                <w:color w:val="FF0000"/>
                <w:lang w:eastAsia="ko-KR"/>
              </w:rPr>
              <w:t>Data distribution mismatch</w:t>
            </w:r>
            <w:r>
              <w:rPr>
                <w:rFonts w:eastAsia="DengXian" w:hint="eastAsia"/>
                <w:color w:val="FF0000"/>
                <w:lang w:eastAsia="zh-CN"/>
              </w:rPr>
              <w:t xml:space="preserve"> that is identified by either NW side or UE side</w:t>
            </w:r>
          </w:p>
          <w:p w14:paraId="4F3D1421" w14:textId="77777777" w:rsidR="00E979A5" w:rsidRPr="00881AC8" w:rsidRDefault="00E979A5" w:rsidP="004A2378">
            <w:pPr>
              <w:numPr>
                <w:ilvl w:val="0"/>
                <w:numId w:val="19"/>
              </w:numPr>
              <w:tabs>
                <w:tab w:val="num" w:pos="720"/>
              </w:tabs>
              <w:spacing w:after="0"/>
              <w:rPr>
                <w:rFonts w:ascii="Aptos" w:eastAsia="Times New Roman" w:hAnsi="Aptos" w:cs="Helvetica"/>
                <w:lang w:eastAsia="ko-KR"/>
              </w:rPr>
            </w:pPr>
            <w:r>
              <w:rPr>
                <w:rFonts w:eastAsia="Times New Roman"/>
                <w:color w:val="0070C0"/>
                <w:lang w:eastAsia="ko-KR"/>
              </w:rPr>
              <w:t>Via</w:t>
            </w:r>
            <w:r w:rsidRPr="003E4436">
              <w:rPr>
                <w:rFonts w:eastAsia="Times New Roman"/>
                <w:color w:val="0070C0"/>
                <w:lang w:eastAsia="ko-KR"/>
              </w:rPr>
              <w:t> </w:t>
            </w:r>
            <w:r w:rsidRPr="00881AC8">
              <w:rPr>
                <w:rFonts w:eastAsia="Times New Roman"/>
                <w:color w:val="FF0000"/>
                <w:lang w:eastAsia="ko-KR"/>
              </w:rPr>
              <w:t>target CSI and CSI feedback pair report,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753A09D5" w14:textId="77777777" w:rsidR="00E979A5" w:rsidRPr="00786C95" w:rsidRDefault="00E979A5" w:rsidP="004A2378">
            <w:pPr>
              <w:numPr>
                <w:ilvl w:val="0"/>
                <w:numId w:val="19"/>
              </w:numPr>
              <w:tabs>
                <w:tab w:val="num" w:pos="720"/>
              </w:tabs>
              <w:spacing w:after="0"/>
              <w:rPr>
                <w:rFonts w:eastAsia="Times New Roman"/>
                <w:lang w:eastAsia="ko-KR"/>
              </w:rPr>
            </w:pPr>
            <w:r w:rsidRPr="00881AC8">
              <w:rPr>
                <w:rFonts w:eastAsia="Times New Roman"/>
                <w:lang w:eastAsia="ko-KR"/>
              </w:rPr>
              <w:t>Note that this conclusion does not preclude other methods.</w:t>
            </w:r>
          </w:p>
          <w:p w14:paraId="4E981408" w14:textId="77777777" w:rsidR="00E979A5" w:rsidRPr="00786C95" w:rsidRDefault="00E979A5" w:rsidP="004A2378">
            <w:pPr>
              <w:numPr>
                <w:ilvl w:val="0"/>
                <w:numId w:val="19"/>
              </w:numPr>
              <w:tabs>
                <w:tab w:val="num" w:pos="720"/>
              </w:tabs>
              <w:spacing w:after="0"/>
              <w:rPr>
                <w:rFonts w:eastAsia="Times New Roman"/>
                <w:lang w:eastAsia="ko-KR"/>
              </w:rPr>
            </w:pPr>
            <w:r w:rsidRPr="00881AC8">
              <w:rPr>
                <w:rFonts w:eastAsia="Times New Roman"/>
                <w:lang w:eastAsia="ko-KR"/>
              </w:rPr>
              <w:t>Note that triggering of root cause detection may be after detecting performance degradation</w:t>
            </w:r>
          </w:p>
          <w:p w14:paraId="6004C634" w14:textId="77777777" w:rsidR="00E979A5" w:rsidRPr="00364264" w:rsidRDefault="00E979A5"/>
          <w:p w14:paraId="35819EA5" w14:textId="3D4E80CE" w:rsidR="00CA5B11" w:rsidRPr="00CE10D2" w:rsidRDefault="00CA5B11">
            <w:pPr>
              <w:rPr>
                <w:rFonts w:eastAsia="DengXian"/>
                <w:highlight w:val="green"/>
                <w:lang w:eastAsia="zh-CN"/>
              </w:rPr>
            </w:pPr>
            <w:r w:rsidRPr="00CE10D2">
              <w:rPr>
                <w:rFonts w:eastAsia="DengXian" w:hint="eastAsia"/>
                <w:highlight w:val="green"/>
                <w:lang w:eastAsia="zh-CN"/>
              </w:rPr>
              <w:t>Agreement</w:t>
            </w:r>
            <w:r w:rsidR="00E979A5">
              <w:rPr>
                <w:rFonts w:eastAsia="DengXian"/>
                <w:highlight w:val="green"/>
                <w:lang w:eastAsia="zh-CN"/>
              </w:rPr>
              <w:t xml:space="preserve"> (RAN1 #116-bis)</w:t>
            </w:r>
          </w:p>
          <w:p w14:paraId="48AFE58D" w14:textId="77777777" w:rsidR="00CA5B11" w:rsidRPr="00CE10D2" w:rsidRDefault="00CA5B11">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1F062240" w14:textId="77777777" w:rsidR="00CA5B11" w:rsidRPr="00CE10D2" w:rsidRDefault="00CA5B11" w:rsidP="004A2378">
            <w:pPr>
              <w:pStyle w:val="ListParagraph"/>
              <w:numPr>
                <w:ilvl w:val="0"/>
                <w:numId w:val="6"/>
              </w:numPr>
            </w:pPr>
            <w:r w:rsidRPr="00CE10D2">
              <w:lastRenderedPageBreak/>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495CA46D" w14:textId="77777777" w:rsidR="00CA5B11" w:rsidRPr="00CE10D2" w:rsidRDefault="00CA5B11" w:rsidP="004A2378">
            <w:pPr>
              <w:pStyle w:val="ListParagraph"/>
              <w:numPr>
                <w:ilvl w:val="1"/>
                <w:numId w:val="6"/>
              </w:numPr>
            </w:pPr>
            <w:r w:rsidRPr="00CE10D2">
              <w:t>Based on the target CSI reported by the UE via legacy eT2 codebook or eT2-like high-resolution codebook (Case 1)</w:t>
            </w:r>
          </w:p>
          <w:p w14:paraId="021CC5C3" w14:textId="77777777" w:rsidR="00CA5B11" w:rsidRPr="00CE10D2" w:rsidRDefault="00CA5B11" w:rsidP="004A2378">
            <w:pPr>
              <w:pStyle w:val="ListParagraph"/>
              <w:numPr>
                <w:ilvl w:val="1"/>
                <w:numId w:val="6"/>
              </w:numPr>
              <w:spacing w:after="160" w:line="259" w:lineRule="auto"/>
              <w:jc w:val="left"/>
            </w:pPr>
            <w:r w:rsidRPr="00CE10D2">
              <w:t>SRS-based monitoring</w:t>
            </w:r>
          </w:p>
          <w:p w14:paraId="24DB8D5A" w14:textId="77777777" w:rsidR="00CA5B11" w:rsidRPr="00CE10D2" w:rsidRDefault="00CA5B11" w:rsidP="004A2378">
            <w:pPr>
              <w:pStyle w:val="ListParagraph"/>
              <w:numPr>
                <w:ilvl w:val="0"/>
                <w:numId w:val="6"/>
              </w:numPr>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15CA826D" w14:textId="77777777" w:rsidR="00CA5B11" w:rsidRPr="00CE10D2" w:rsidRDefault="00CA5B11" w:rsidP="004A2378">
            <w:pPr>
              <w:pStyle w:val="ListParagraph"/>
              <w:numPr>
                <w:ilvl w:val="1"/>
                <w:numId w:val="6"/>
              </w:numPr>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14FA5A14" w14:textId="77777777" w:rsidR="00CA5B11" w:rsidRPr="00CE10D2" w:rsidRDefault="00CA5B11" w:rsidP="004A2378">
            <w:pPr>
              <w:pStyle w:val="ListParagraph"/>
              <w:numPr>
                <w:ilvl w:val="2"/>
                <w:numId w:val="6"/>
              </w:numPr>
            </w:pPr>
            <w:r w:rsidRPr="00CE10D2">
              <w:t>Note: CSI reconstruction model at the UE-side can be the same as the actual CSI reconstruction model used at the NW-side, a reference model provided by NW, or a proxy model developed by the UE side.</w:t>
            </w:r>
          </w:p>
          <w:p w14:paraId="635E79DF" w14:textId="77777777" w:rsidR="00CA5B11" w:rsidRPr="00CE10D2" w:rsidRDefault="00CA5B11" w:rsidP="004A2378">
            <w:pPr>
              <w:pStyle w:val="ListParagraph"/>
              <w:numPr>
                <w:ilvl w:val="1"/>
                <w:numId w:val="6"/>
              </w:numPr>
            </w:pPr>
            <w:r w:rsidRPr="00CE10D2">
              <w:t>Via direct estimation of intermediate KPI (e.g., SGCS) without reconstructing a target CSI (Case 2-2)</w:t>
            </w:r>
          </w:p>
          <w:p w14:paraId="3A763A3A" w14:textId="77777777" w:rsidR="00CA5B11" w:rsidRPr="00CE10D2" w:rsidRDefault="00CA5B11" w:rsidP="004A2378">
            <w:pPr>
              <w:pStyle w:val="ListParagraph"/>
              <w:numPr>
                <w:ilvl w:val="1"/>
                <w:numId w:val="6"/>
              </w:numPr>
            </w:pPr>
            <w:r w:rsidRPr="00CE10D2">
              <w:t>Via estimation of monitoring output other than intermediate KPI</w:t>
            </w:r>
            <w:r>
              <w:rPr>
                <w:rFonts w:eastAsia="DengXian" w:hint="eastAsia"/>
                <w:lang w:eastAsia="zh-CN"/>
              </w:rPr>
              <w:t xml:space="preserve"> </w:t>
            </w:r>
            <w:r w:rsidRPr="00CE10D2">
              <w:t>without reconstructing a target CSI</w:t>
            </w:r>
          </w:p>
          <w:p w14:paraId="64A49138" w14:textId="77777777" w:rsidR="00CA5B11" w:rsidRPr="00CE10D2" w:rsidRDefault="00CA5B11" w:rsidP="004A2378">
            <w:pPr>
              <w:pStyle w:val="ListParagraph"/>
              <w:numPr>
                <w:ilvl w:val="1"/>
                <w:numId w:val="6"/>
              </w:numPr>
            </w:pPr>
            <w:r w:rsidRPr="00CE10D2">
              <w:t xml:space="preserve">Based on precoded RS (e.g., CSI-RS, DMRS) transmitted from NW based on the output of the CSI reconstruction model </w:t>
            </w:r>
          </w:p>
          <w:p w14:paraId="1863FC7E" w14:textId="77777777" w:rsidR="00CA5B11" w:rsidRPr="00CE10D2" w:rsidRDefault="00CA5B11" w:rsidP="004A2378">
            <w:pPr>
              <w:pStyle w:val="ListParagraph"/>
              <w:numPr>
                <w:ilvl w:val="1"/>
                <w:numId w:val="6"/>
              </w:numPr>
            </w:pPr>
            <w:r w:rsidRPr="00CE10D2">
              <w:t>Based on the output of the CSI reconstruction model indicated by the NW via legacy eT2 codebook or eT2-like high-resolution codebook</w:t>
            </w:r>
          </w:p>
          <w:p w14:paraId="4EDA3DDF" w14:textId="77777777" w:rsidR="00CA5B11" w:rsidRPr="00CE10D2" w:rsidRDefault="00CA5B11">
            <w:r w:rsidRPr="00CE10D2">
              <w:t>Regarding monitoring metrics:</w:t>
            </w:r>
          </w:p>
          <w:p w14:paraId="25847485" w14:textId="77777777" w:rsidR="00CA5B11" w:rsidRPr="00CE10D2" w:rsidRDefault="00CA5B11" w:rsidP="004A2378">
            <w:pPr>
              <w:pStyle w:val="ListParagraph"/>
              <w:numPr>
                <w:ilvl w:val="0"/>
                <w:numId w:val="7"/>
              </w:numPr>
            </w:pPr>
            <w:r w:rsidRPr="00CE10D2">
              <w:t>Monitoring accuracy also includes generalization considerations, if applicable.</w:t>
            </w:r>
          </w:p>
          <w:p w14:paraId="6576EA5B" w14:textId="77777777" w:rsidR="00CA5B11" w:rsidRPr="00CE10D2" w:rsidRDefault="00CA5B11" w:rsidP="004A2378">
            <w:pPr>
              <w:pStyle w:val="ListParagraph"/>
              <w:numPr>
                <w:ilvl w:val="0"/>
                <w:numId w:val="7"/>
              </w:numPr>
            </w:pPr>
            <w:r w:rsidRPr="00CE10D2">
              <w:t>Complexity also includes LCM complexity, if applicable.</w:t>
            </w:r>
          </w:p>
          <w:p w14:paraId="1E098F4F" w14:textId="77777777" w:rsidR="00CA5B11" w:rsidRPr="00CE10D2" w:rsidRDefault="00CA5B11" w:rsidP="004A2378">
            <w:pPr>
              <w:pStyle w:val="ListParagraph"/>
              <w:numPr>
                <w:ilvl w:val="0"/>
                <w:numId w:val="7"/>
              </w:numPr>
            </w:pPr>
            <w:r w:rsidRPr="00CE10D2">
              <w:t>Monitoring overhead, latency, complexity, and accuracy analysis may have to consider using at N&gt;1 CSI feedback occasions.</w:t>
            </w:r>
          </w:p>
          <w:p w14:paraId="6FCB92E7" w14:textId="77777777" w:rsidR="00CA5B11" w:rsidRPr="00CE10D2" w:rsidRDefault="00CA5B11" w:rsidP="004A2378">
            <w:pPr>
              <w:pStyle w:val="ListParagraph"/>
              <w:numPr>
                <w:ilvl w:val="0"/>
                <w:numId w:val="7"/>
              </w:numPr>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6FCF9383" w14:textId="77777777" w:rsidR="00CA5B11" w:rsidRPr="00CE10D2" w:rsidRDefault="00CA5B11">
            <w:r w:rsidRPr="00CE10D2">
              <w:t>Discussion may include the following aspects:</w:t>
            </w:r>
          </w:p>
          <w:p w14:paraId="095B0280" w14:textId="77777777" w:rsidR="00CA5B11" w:rsidRPr="00CE10D2" w:rsidRDefault="00CA5B11" w:rsidP="004A2378">
            <w:pPr>
              <w:pStyle w:val="ListParagraph"/>
              <w:numPr>
                <w:ilvl w:val="0"/>
                <w:numId w:val="7"/>
              </w:numPr>
            </w:pPr>
            <w:r w:rsidRPr="00CE10D2">
              <w:t>Consideration of Options 1-5 and their sub-options for alleviating / resolving the issues related to inter-vendor training collaboration</w:t>
            </w:r>
          </w:p>
          <w:p w14:paraId="037BB05C" w14:textId="77777777" w:rsidR="00CA5B11" w:rsidRPr="00CE10D2" w:rsidRDefault="00CA5B11" w:rsidP="004A2378">
            <w:pPr>
              <w:pStyle w:val="ListParagraph"/>
              <w:numPr>
                <w:ilvl w:val="0"/>
                <w:numId w:val="7"/>
              </w:numPr>
            </w:pPr>
            <w:r w:rsidRPr="00CE10D2">
              <w:t>Temporal domain aspects of CSI compression</w:t>
            </w:r>
          </w:p>
          <w:p w14:paraId="3B297451" w14:textId="77777777" w:rsidR="00CA5B11" w:rsidRPr="00CE10D2" w:rsidRDefault="00CA5B11" w:rsidP="004A2378">
            <w:pPr>
              <w:pStyle w:val="ListParagraph"/>
              <w:numPr>
                <w:ilvl w:val="0"/>
                <w:numId w:val="7"/>
              </w:numPr>
            </w:pPr>
            <w:r w:rsidRPr="00CE10D2">
              <w:t>How the above monitoring approaches or combination of them may help identifying</w:t>
            </w:r>
            <w:r w:rsidRPr="00CE10D2">
              <w:rPr>
                <w:rFonts w:hint="eastAsia"/>
              </w:rPr>
              <w:t xml:space="preserve"> the cause </w:t>
            </w:r>
            <w:r w:rsidRPr="00CE10D2">
              <w:rPr>
                <w:rFonts w:eastAsia="DengXian" w:hint="eastAsia"/>
                <w:lang w:eastAsia="zh-CN"/>
              </w:rPr>
              <w:t xml:space="preserve">(e.g., NW side, UE side, data drift) </w:t>
            </w:r>
            <w:r w:rsidRPr="00CE10D2">
              <w:rPr>
                <w:rFonts w:hint="eastAsia"/>
              </w:rPr>
              <w:t>of the performance degradation</w:t>
            </w:r>
          </w:p>
          <w:p w14:paraId="4060186C" w14:textId="77777777" w:rsidR="00CA5B11" w:rsidRPr="00CE10D2" w:rsidRDefault="00CA5B11">
            <w:r w:rsidRPr="00CE10D2">
              <w:t>Note: for UE-side monitoring, the final reported monitoring output, if specified, may be different, e.g., be further derived based on the output of the above approaches.</w:t>
            </w:r>
          </w:p>
          <w:p w14:paraId="4195CEA3" w14:textId="77777777" w:rsidR="00CA5B11" w:rsidRPr="00DC3E7A" w:rsidRDefault="00CA5B11">
            <w:pPr>
              <w:rPr>
                <w:rFonts w:eastAsia="DengXian"/>
                <w:lang w:eastAsia="zh-CN"/>
              </w:rPr>
            </w:pPr>
            <w:r w:rsidRPr="00CE10D2">
              <w:t>Note: implementation-based monitoring solutions can be considered in assessing the necessity of the above monitoring approaches.</w:t>
            </w:r>
          </w:p>
        </w:tc>
      </w:tr>
    </w:tbl>
    <w:p w14:paraId="3F22D257" w14:textId="77777777" w:rsidR="00CA5B11" w:rsidRPr="00CA5B11" w:rsidRDefault="00CA5B11" w:rsidP="00CA5B11"/>
    <w:p w14:paraId="76BDEB38" w14:textId="77777777" w:rsidR="00767F0E" w:rsidRDefault="00767F0E" w:rsidP="00767F0E">
      <w:pPr>
        <w:pStyle w:val="Heading2"/>
      </w:pPr>
      <w:r>
        <w:t>General philosophy of performance monitoring</w:t>
      </w:r>
    </w:p>
    <w:p w14:paraId="6EF5BEAC" w14:textId="7E6C7C85" w:rsidR="00767F0E" w:rsidRDefault="00767F0E" w:rsidP="00767F0E">
      <w:r>
        <w:t>In our view, monitoring the performance of AIML feature is similar to monitoring the performance of a legacy non-AI feature. As elaborated in our companion paper for CSI prediction [</w:t>
      </w:r>
      <w:r w:rsidR="007A3083">
        <w:t>3</w:t>
      </w:r>
      <w:r>
        <w:t xml:space="preserve">], there are various ways of ensuring the performance, such as RAN4 testing, interoperability testing, and post-deployment monitoring. Taking R16 eTypte II as example, many UE / chipset vendors may have already implemented it and pass RAN4 testing / IODT testing. To guarantee the performance, NW can compare the throughput achieved by turning the feature on vs. off. If there is no substantial improvement, NW may choose to turn the feature off considering the additional cost in UE battery cost and UL overhead. Alternatively, to monitor </w:t>
      </w:r>
      <w:r>
        <w:lastRenderedPageBreak/>
        <w:t xml:space="preserve">per-UE performance, NW can compare the CQI reported with Type I to the CQI reported with eType II CSI. NW can also monitor the per-UE performance by scheduling DL-SCH using the reported CSI and compare the ACK/NACK ratio. Similar approach can be applied here for AIML-based CSI compression. However, specified performance monitoring would require additional UE implementation burden and increase the inference battery cost, thus UE capability and complexity would be a major aspect </w:t>
      </w:r>
      <w:r w:rsidR="001206AB">
        <w:t xml:space="preserve">to be considered </w:t>
      </w:r>
      <w:r>
        <w:t>in performance monitoring study.</w:t>
      </w:r>
    </w:p>
    <w:p w14:paraId="47AEB89C" w14:textId="4D5498A9" w:rsidR="00AA61C7" w:rsidRPr="001206AB" w:rsidRDefault="00AA61C7" w:rsidP="001206AB">
      <w:pPr>
        <w:pStyle w:val="Observation"/>
        <w:rPr>
          <w:rStyle w:val="Strong"/>
          <w:b/>
          <w:bCs/>
        </w:rPr>
      </w:pPr>
      <w:bookmarkStart w:id="36" w:name="_Ref194072060"/>
      <w:r w:rsidRPr="001206AB">
        <w:rPr>
          <w:rStyle w:val="Strong"/>
          <w:b/>
          <w:bCs/>
        </w:rPr>
        <w:t xml:space="preserve">There are spec-transparent performance monitoring mechanisms for legacy non-AI features. The same logic can be applied to </w:t>
      </w:r>
      <w:r w:rsidR="00A30FF8" w:rsidRPr="001206AB">
        <w:rPr>
          <w:rStyle w:val="Strong"/>
          <w:b/>
          <w:bCs/>
        </w:rPr>
        <w:t>two-sided AIML CSF</w:t>
      </w:r>
      <w:r w:rsidRPr="001206AB">
        <w:rPr>
          <w:rStyle w:val="Strong"/>
          <w:b/>
          <w:bCs/>
        </w:rPr>
        <w:t>.</w:t>
      </w:r>
      <w:bookmarkEnd w:id="36"/>
    </w:p>
    <w:p w14:paraId="64A0CC16" w14:textId="77777777" w:rsidR="00767F0E" w:rsidRDefault="00767F0E" w:rsidP="00767F0E">
      <w:r>
        <w:t xml:space="preserve">With that in mind, any standardized monitoring approach, e.g., NW side monitoring approach with ground-truth reporting, UE side monitoring with SGCS estimator, UE side monitoring via precoded RS, should require additional UE capability signalling besides the capability for two-sided AIML CSF. For NW side monitoring particular, further capability may require concurrent processing of two-sided AIML CSF and non-AI CSF codebooks and also may require the support of eType II codebook. </w:t>
      </w:r>
    </w:p>
    <w:p w14:paraId="07C24EB9" w14:textId="77777777" w:rsidR="00767F0E" w:rsidRDefault="00767F0E" w:rsidP="00767F0E">
      <w:r>
        <w:t>Even if a high-resolution parameter combination for eType II is needed, it should be also an additional UE capability. Besides, it would make more sense to use the high-resolution eT2 parameter combination for nominal CSI feedback rather than limited for performance monitoring. Thus, from procedure wise, the high-resolution eT2 should be discussed and agreed in MIMO session first and then adopted by AIML performance monitoring.</w:t>
      </w:r>
    </w:p>
    <w:p w14:paraId="54DF4E1D" w14:textId="30DB3215" w:rsidR="00A30FF8" w:rsidRDefault="00A30FF8" w:rsidP="00331D17">
      <w:pPr>
        <w:pStyle w:val="Proposal"/>
      </w:pPr>
      <w:bookmarkStart w:id="37" w:name="_Ref194072409"/>
      <w:r>
        <w:t>Any standardized performance monitoring for two-sided AIML CSF should require additional capability than the feature it</w:t>
      </w:r>
      <w:r w:rsidR="006F461B">
        <w:t>self.</w:t>
      </w:r>
      <w:bookmarkEnd w:id="37"/>
    </w:p>
    <w:p w14:paraId="3F5445BF" w14:textId="77777777" w:rsidR="00EC3CF0" w:rsidRDefault="006F461B" w:rsidP="00767F0E">
      <w:pPr>
        <w:pStyle w:val="Proposal"/>
      </w:pPr>
      <w:bookmarkStart w:id="38" w:name="_Ref194072416"/>
      <w:r>
        <w:t>For NW side performance monitoring, additional UE capability includes</w:t>
      </w:r>
      <w:bookmarkEnd w:id="38"/>
    </w:p>
    <w:p w14:paraId="13E19323" w14:textId="77777777" w:rsidR="00EC3CF0" w:rsidRDefault="006F461B" w:rsidP="004A2378">
      <w:pPr>
        <w:pStyle w:val="Proposal"/>
        <w:numPr>
          <w:ilvl w:val="0"/>
          <w:numId w:val="20"/>
        </w:numPr>
      </w:pPr>
      <w:r>
        <w:t>Concurrent processing of two-sided AIML CSF and non-AI CSI codebooks</w:t>
      </w:r>
    </w:p>
    <w:p w14:paraId="69B99992" w14:textId="77777777" w:rsidR="00EC3CF0" w:rsidRDefault="00331D17" w:rsidP="004A2378">
      <w:pPr>
        <w:pStyle w:val="Proposal"/>
        <w:numPr>
          <w:ilvl w:val="0"/>
          <w:numId w:val="20"/>
        </w:numPr>
      </w:pPr>
      <w:r>
        <w:t>Capability for supporting eType II CSI codebook</w:t>
      </w:r>
    </w:p>
    <w:p w14:paraId="4856806B" w14:textId="117998BB" w:rsidR="00B607E1" w:rsidRDefault="00331D17" w:rsidP="004A2378">
      <w:pPr>
        <w:pStyle w:val="Proposal"/>
        <w:numPr>
          <w:ilvl w:val="1"/>
          <w:numId w:val="20"/>
        </w:numPr>
      </w:pPr>
      <w:r>
        <w:t>If high</w:t>
      </w:r>
      <w:r w:rsidR="00B607E1">
        <w:t>er</w:t>
      </w:r>
      <w:r>
        <w:t xml:space="preserve">-resolution eType II parameter combination is needed, it should be discussed and </w:t>
      </w:r>
      <w:r w:rsidR="00B607E1">
        <w:t xml:space="preserve">specified </w:t>
      </w:r>
      <w:r>
        <w:t xml:space="preserve">in </w:t>
      </w:r>
      <w:r w:rsidR="00B607E1">
        <w:t xml:space="preserve">the </w:t>
      </w:r>
      <w:r w:rsidR="00A755BE">
        <w:t xml:space="preserve">R20 NR </w:t>
      </w:r>
      <w:r>
        <w:t xml:space="preserve">MIMO </w:t>
      </w:r>
      <w:r w:rsidR="00B607E1">
        <w:t>agenda.</w:t>
      </w:r>
      <w:r>
        <w:t xml:space="preserve"> </w:t>
      </w:r>
      <w:r w:rsidR="00B607E1">
        <w:t xml:space="preserve"> </w:t>
      </w:r>
    </w:p>
    <w:p w14:paraId="433689D8" w14:textId="599B4C52" w:rsidR="00B607E1" w:rsidRDefault="00B607E1" w:rsidP="004A2378">
      <w:pPr>
        <w:pStyle w:val="Proposal"/>
        <w:numPr>
          <w:ilvl w:val="2"/>
          <w:numId w:val="20"/>
        </w:numPr>
      </w:pPr>
      <w:r>
        <w:t>The support of higher-resolution eType II</w:t>
      </w:r>
      <w:r w:rsidR="004F2DE2">
        <w:t xml:space="preserve"> parameter combination</w:t>
      </w:r>
      <w:r>
        <w:t>, as well as concurrent support of two-sided AIML CSF and higher-resolution eType II, should require additional UE capability.</w:t>
      </w:r>
    </w:p>
    <w:p w14:paraId="5D703F48" w14:textId="002FAC29" w:rsidR="006F461B" w:rsidRDefault="00B607E1" w:rsidP="004A2378">
      <w:pPr>
        <w:pStyle w:val="Proposal"/>
        <w:numPr>
          <w:ilvl w:val="2"/>
          <w:numId w:val="20"/>
        </w:numPr>
      </w:pPr>
      <w:r>
        <w:t>Whether NW triggers the higher-resolution eType II</w:t>
      </w:r>
      <w:r w:rsidR="00FF4605">
        <w:t xml:space="preserve"> parameter combination</w:t>
      </w:r>
      <w:r>
        <w:t xml:space="preserve"> for two-sided AIML CSF performance monitoring is up to NW implementation and no further specification (other than concurrency aspects) is needed from AIML point of view.</w:t>
      </w:r>
    </w:p>
    <w:p w14:paraId="7D61B4BF" w14:textId="7E34CE76" w:rsidR="0092131E" w:rsidRPr="000A42FC" w:rsidRDefault="0092131E" w:rsidP="0092131E">
      <w:pPr>
        <w:pStyle w:val="Proposal"/>
        <w:numPr>
          <w:ilvl w:val="0"/>
          <w:numId w:val="0"/>
        </w:numPr>
        <w:rPr>
          <w:rFonts w:eastAsia="Malgun Gothic"/>
          <w:b w:val="0"/>
          <w:bCs w:val="0"/>
          <w:i w:val="0"/>
          <w:iCs w:val="0"/>
          <w:lang w:eastAsia="en-US"/>
        </w:rPr>
      </w:pPr>
      <w:r w:rsidRPr="000A42FC">
        <w:rPr>
          <w:rFonts w:eastAsia="Malgun Gothic"/>
          <w:b w:val="0"/>
          <w:bCs w:val="0"/>
          <w:i w:val="0"/>
          <w:iCs w:val="0"/>
          <w:lang w:eastAsia="en-US"/>
        </w:rPr>
        <w:t xml:space="preserve">In the next subsection, we evaluate the monitoring accuracy requirement and </w:t>
      </w:r>
      <w:r w:rsidR="007A0EDE" w:rsidRPr="000A42FC">
        <w:rPr>
          <w:rFonts w:eastAsia="Malgun Gothic"/>
          <w:b w:val="0"/>
          <w:bCs w:val="0"/>
          <w:i w:val="0"/>
          <w:iCs w:val="0"/>
          <w:lang w:eastAsia="en-US"/>
        </w:rPr>
        <w:t xml:space="preserve">show that </w:t>
      </w:r>
      <w:r w:rsidR="007A0EDE" w:rsidRPr="00CE0F98">
        <w:rPr>
          <w:rFonts w:eastAsia="Malgun Gothic"/>
          <w:i w:val="0"/>
          <w:iCs w:val="0"/>
          <w:lang w:eastAsia="en-US"/>
        </w:rPr>
        <w:t>existing eType II parameter combinations are sufficient to achieve good monitoring results</w:t>
      </w:r>
      <w:r w:rsidR="007A0EDE" w:rsidRPr="000A42FC">
        <w:rPr>
          <w:rFonts w:eastAsia="Malgun Gothic"/>
          <w:b w:val="0"/>
          <w:bCs w:val="0"/>
          <w:i w:val="0"/>
          <w:iCs w:val="0"/>
          <w:lang w:eastAsia="en-US"/>
        </w:rPr>
        <w:t xml:space="preserve">. </w:t>
      </w:r>
      <w:r w:rsidR="00BF09C3" w:rsidRPr="000A42FC">
        <w:rPr>
          <w:rFonts w:eastAsia="Malgun Gothic"/>
          <w:b w:val="0"/>
          <w:bCs w:val="0"/>
          <w:i w:val="0"/>
          <w:iCs w:val="0"/>
          <w:lang w:eastAsia="en-US"/>
        </w:rPr>
        <w:t xml:space="preserve">We will show that the </w:t>
      </w:r>
      <w:r w:rsidR="00BF09C3" w:rsidRPr="00CE0F98">
        <w:rPr>
          <w:rFonts w:eastAsia="Malgun Gothic"/>
          <w:i w:val="0"/>
          <w:iCs w:val="0"/>
          <w:lang w:eastAsia="en-US"/>
        </w:rPr>
        <w:t>dominant factor</w:t>
      </w:r>
      <w:r w:rsidR="00BF09C3" w:rsidRPr="000A42FC">
        <w:rPr>
          <w:rFonts w:eastAsia="Malgun Gothic"/>
          <w:b w:val="0"/>
          <w:bCs w:val="0"/>
          <w:i w:val="0"/>
          <w:iCs w:val="0"/>
          <w:lang w:eastAsia="en-US"/>
        </w:rPr>
        <w:t xml:space="preserve"> is not the monitoring accuracy compared to the genie ground-truth, instead, it would be the </w:t>
      </w:r>
      <w:r w:rsidR="00BF09C3" w:rsidRPr="00CE0F98">
        <w:rPr>
          <w:rFonts w:eastAsia="Malgun Gothic"/>
          <w:i w:val="0"/>
          <w:iCs w:val="0"/>
          <w:lang w:eastAsia="en-US"/>
        </w:rPr>
        <w:t xml:space="preserve">SGCS </w:t>
      </w:r>
      <w:r w:rsidR="00E016ED" w:rsidRPr="00CE0F98">
        <w:rPr>
          <w:rFonts w:eastAsia="Malgun Gothic"/>
          <w:i w:val="0"/>
          <w:iCs w:val="0"/>
          <w:lang w:eastAsia="en-US"/>
        </w:rPr>
        <w:t xml:space="preserve">statistics of the </w:t>
      </w:r>
      <w:r w:rsidR="0020637D" w:rsidRPr="00CE0F98">
        <w:rPr>
          <w:rFonts w:eastAsia="Malgun Gothic"/>
          <w:i w:val="0"/>
          <w:iCs w:val="0"/>
          <w:lang w:eastAsia="en-US"/>
        </w:rPr>
        <w:t>“in-distribution” data vs. the SGCS statistics of the “out-of-distribution” data</w:t>
      </w:r>
      <w:r w:rsidR="00A64D50" w:rsidRPr="000A42FC">
        <w:rPr>
          <w:rFonts w:eastAsia="Malgun Gothic"/>
          <w:b w:val="0"/>
          <w:bCs w:val="0"/>
          <w:i w:val="0"/>
          <w:iCs w:val="0"/>
          <w:lang w:eastAsia="en-US"/>
        </w:rPr>
        <w:t xml:space="preserve">. In other words, </w:t>
      </w:r>
      <w:r w:rsidR="00D83132" w:rsidRPr="000A42FC">
        <w:rPr>
          <w:rFonts w:eastAsia="Malgun Gothic"/>
          <w:b w:val="0"/>
          <w:bCs w:val="0"/>
          <w:i w:val="0"/>
          <w:iCs w:val="0"/>
          <w:lang w:eastAsia="en-US"/>
        </w:rPr>
        <w:t>even if SGCS computed using existing eT2-like ground-truth</w:t>
      </w:r>
      <w:r w:rsidR="00BF09C3" w:rsidRPr="000A42FC">
        <w:rPr>
          <w:rFonts w:eastAsia="Malgun Gothic"/>
          <w:b w:val="0"/>
          <w:bCs w:val="0"/>
          <w:i w:val="0"/>
          <w:iCs w:val="0"/>
          <w:lang w:eastAsia="en-US"/>
        </w:rPr>
        <w:t xml:space="preserve"> </w:t>
      </w:r>
      <w:r w:rsidR="00D83132" w:rsidRPr="000A42FC">
        <w:rPr>
          <w:rFonts w:eastAsia="Malgun Gothic"/>
          <w:b w:val="0"/>
          <w:bCs w:val="0"/>
          <w:i w:val="0"/>
          <w:iCs w:val="0"/>
          <w:lang w:eastAsia="en-US"/>
        </w:rPr>
        <w:t xml:space="preserve">is slightly </w:t>
      </w:r>
      <w:r w:rsidR="0020637D" w:rsidRPr="000A42FC">
        <w:rPr>
          <w:rFonts w:eastAsia="Malgun Gothic"/>
          <w:b w:val="0"/>
          <w:bCs w:val="0"/>
          <w:i w:val="0"/>
          <w:iCs w:val="0"/>
          <w:lang w:eastAsia="en-US"/>
        </w:rPr>
        <w:t>biased from the genie, the difference between the SGCS statistics of “in-distribution” data</w:t>
      </w:r>
      <w:r w:rsidR="000A42FC" w:rsidRPr="000A42FC">
        <w:rPr>
          <w:rFonts w:eastAsia="Malgun Gothic"/>
          <w:b w:val="0"/>
          <w:bCs w:val="0"/>
          <w:i w:val="0"/>
          <w:iCs w:val="0"/>
          <w:lang w:eastAsia="en-US"/>
        </w:rPr>
        <w:t xml:space="preserve"> and</w:t>
      </w:r>
      <w:r w:rsidR="0020637D" w:rsidRPr="000A42FC">
        <w:rPr>
          <w:rFonts w:eastAsia="Malgun Gothic"/>
          <w:b w:val="0"/>
          <w:bCs w:val="0"/>
          <w:i w:val="0"/>
          <w:iCs w:val="0"/>
          <w:lang w:eastAsia="en-US"/>
        </w:rPr>
        <w:t xml:space="preserve"> the SGCS statistics of the “out-of-distribution” data is co</w:t>
      </w:r>
      <w:r w:rsidR="000A42FC" w:rsidRPr="000A42FC">
        <w:rPr>
          <w:rFonts w:eastAsia="Malgun Gothic"/>
          <w:b w:val="0"/>
          <w:bCs w:val="0"/>
          <w:i w:val="0"/>
          <w:iCs w:val="0"/>
          <w:lang w:eastAsia="en-US"/>
        </w:rPr>
        <w:t>nsistent no matter using existing eT2-like ground-truth or genie ground-truth or high-resolution eT2.</w:t>
      </w:r>
    </w:p>
    <w:p w14:paraId="196A05BC" w14:textId="08515FA3" w:rsidR="00780B22" w:rsidRDefault="000F49CB" w:rsidP="00377718">
      <w:pPr>
        <w:pStyle w:val="Heading2"/>
      </w:pPr>
      <w:r>
        <w:t>Monitoring accuracy requirement</w:t>
      </w:r>
    </w:p>
    <w:p w14:paraId="1773266D" w14:textId="4DCF0119" w:rsidR="00C028BE" w:rsidRDefault="00C028BE" w:rsidP="00C028BE">
      <w:r>
        <w:t xml:space="preserve">During Rel-18 study, </w:t>
      </w:r>
      <w:r w:rsidRPr="00C35132">
        <w:rPr>
          <w:b/>
          <w:bCs/>
        </w:rPr>
        <w:t>monitoring accuracy performance</w:t>
      </w:r>
      <w:r>
        <w:t xml:space="preserve"> was evaluated. More specifically, SGCS accuracy is computed by averaging the per-sample difference between the genie SGCS and calculated </w:t>
      </w:r>
      <w:r>
        <w:lastRenderedPageBreak/>
        <w:t xml:space="preserve">SGCS based on ground-truth reporting or SGCS estimation, i.e., </w:t>
      </w:r>
      <m:oMath>
        <m:r>
          <w:rPr>
            <w:rFonts w:ascii="Cambria Math" w:hAnsi="Cambria Math"/>
          </w:rPr>
          <m:t>E</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e>
        </m:d>
      </m:oMath>
      <w:r>
        <w:t xml:space="preserve">. However, while monitoring accuracy performance was evaluated in the Rel-18 study, there was no study so far on the </w:t>
      </w:r>
      <w:r w:rsidRPr="00C35132">
        <w:rPr>
          <w:b/>
          <w:bCs/>
        </w:rPr>
        <w:t xml:space="preserve">monitoring </w:t>
      </w:r>
      <w:r w:rsidRPr="00013CB5">
        <w:rPr>
          <w:b/>
          <w:bCs/>
        </w:rPr>
        <w:t>a</w:t>
      </w:r>
      <w:r w:rsidRPr="00627A8A">
        <w:rPr>
          <w:b/>
          <w:bCs/>
        </w:rPr>
        <w:t>ccuracy requirement</w:t>
      </w:r>
      <w:r>
        <w:t xml:space="preserve">, i.e., how accurate the monitoring metric (i.e., SGCS estimation accuracy) should be. Given that the main objective of performance monitoring is to identify if there is a problem such as data distribution drift or any faulty operation/issues and take appropriate actions such as model re-training or deactivation, the monitoring accuracy requirement may be derived based on the accuracy of the monitoring </w:t>
      </w:r>
      <w:r w:rsidRPr="00993335">
        <w:rPr>
          <w:b/>
        </w:rPr>
        <w:t>decision</w:t>
      </w:r>
      <w:r>
        <w:t xml:space="preserve"> making such as miss-detection of underlying issues and falsely triggering actions. </w:t>
      </w:r>
    </w:p>
    <w:p w14:paraId="3795D9C6" w14:textId="77777777" w:rsidR="00C028BE" w:rsidRDefault="00C028BE" w:rsidP="00C028BE">
      <w:r>
        <w:t xml:space="preserve">As a simple example, suppose that the SGCS estimate is perfectly accurate (i.e.,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genie</m:t>
            </m:r>
          </m:sub>
        </m:sSub>
      </m:oMath>
      <w:r>
        <w:t xml:space="preserve">) and that suppose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m:t>
        </m:r>
      </m:oMath>
      <w:r>
        <w:t xml:space="preserve">. Then, how do we make a decision? Is the SGCS value of 0.6 good or bad? </w:t>
      </w:r>
      <w:r>
        <w:fldChar w:fldCharType="begin"/>
      </w:r>
      <w:r>
        <w:instrText xml:space="preserve"> REF _Ref189824932 \h </w:instrText>
      </w:r>
      <w:r>
        <w:fldChar w:fldCharType="separate"/>
      </w:r>
      <w:r w:rsidR="00631423">
        <w:t xml:space="preserve">Figure </w:t>
      </w:r>
      <w:r w:rsidR="00631423">
        <w:rPr>
          <w:noProof/>
        </w:rPr>
        <w:t>5</w:t>
      </w:r>
      <w:r w:rsidR="00631423">
        <w:noBreakHyphen/>
      </w:r>
      <w:r w:rsidR="00631423">
        <w:rPr>
          <w:noProof/>
        </w:rPr>
        <w:t>1</w:t>
      </w:r>
      <w:r>
        <w:fldChar w:fldCharType="end"/>
      </w:r>
      <w:r>
        <w:t xml:space="preserve"> shows the inference results of encoder-decoder pair which is trained on dataset A by testing on both dataset A and dataset B. As shown, the SGCS value for the case of consistent training / inference data has a wide range (dataset A, N=1, per sample SGCS). On the other hand, the SGCS value for the case of inconsistent training / inference data (dataset B, N=1, per sample SGCS) also has a wide range which is overlapped with the case of consistent training / inference data to a large extent. More specifically, for the case of genie ground-truth, SGCS=0.6 is in the tail of consistent training / inference data (95% samples achieves SGCS &gt; 0.6) as indicated by solid blue curve, but there are also a good number of samples (&gt;70%) of the inconsistent training / inference case which yields SGCS &gt; 0.6 as indicated by the dashed blue curve. So, in this example, even a perfect monitoring accuracy was not enough for making monitoring decision.</w:t>
      </w:r>
    </w:p>
    <w:p w14:paraId="0AD040EC" w14:textId="7192A23F" w:rsidR="00C028BE" w:rsidRDefault="00C028BE" w:rsidP="00C028BE">
      <w:r>
        <w:t xml:space="preserve">Given that fact, it will be hard to make any monitoring decision unless SGCS is observed over enough number of samples to get a reliable statistic. This can be seen from </w:t>
      </w:r>
      <w:r>
        <w:fldChar w:fldCharType="begin"/>
      </w:r>
      <w:r>
        <w:instrText xml:space="preserve"> REF _Ref189824932 \h </w:instrText>
      </w:r>
      <w:r>
        <w:fldChar w:fldCharType="separate"/>
      </w:r>
      <w:r w:rsidR="00631423">
        <w:t xml:space="preserve">Figure </w:t>
      </w:r>
      <w:r w:rsidR="00631423">
        <w:rPr>
          <w:noProof/>
        </w:rPr>
        <w:t>5</w:t>
      </w:r>
      <w:r w:rsidR="00631423">
        <w:noBreakHyphen/>
      </w:r>
      <w:r w:rsidR="00631423">
        <w:rPr>
          <w:noProof/>
        </w:rPr>
        <w:t>1</w:t>
      </w:r>
      <w:r>
        <w:fldChar w:fldCharType="end"/>
      </w:r>
      <w:r>
        <w:t xml:space="preserve">. The curves of averaged SGCS across multiple samples become more and more centred as number of average samples increase from N=5, N=10, to N=20. Thus, the CSF curve of the consistent training / inference data and the CDF curve of the inconsistent training / inference data becomes more and more apart. More specifically, as shown in </w:t>
      </w:r>
      <w:r>
        <w:fldChar w:fldCharType="begin"/>
      </w:r>
      <w:r>
        <w:instrText xml:space="preserve"> REF _Ref189824932 \h </w:instrText>
      </w:r>
      <w:r>
        <w:fldChar w:fldCharType="separate"/>
      </w:r>
      <w:r w:rsidR="00631423">
        <w:t xml:space="preserve">Figure </w:t>
      </w:r>
      <w:r w:rsidR="00631423">
        <w:rPr>
          <w:noProof/>
        </w:rPr>
        <w:t>5</w:t>
      </w:r>
      <w:r w:rsidR="00631423">
        <w:noBreakHyphen/>
      </w:r>
      <w:r w:rsidR="00631423">
        <w:rPr>
          <w:noProof/>
        </w:rPr>
        <w:t>1</w:t>
      </w:r>
      <w:r>
        <w:fldChar w:fldCharType="end"/>
      </w:r>
      <w:r>
        <w:t>, with genie ground-truth, for the case with consistent training / inference data, almost all samples yield average SGCS &gt; 0.75 if average is across N=40 samples (as indicated by the solid cyan curve). However, for the case of the inconsistent training / inference data, almost 95% samples of yields average SGCS &lt;= 0.75. This implies that samples that yield average SGCS=0.75 can be considered as threshold which yields acceptable monitoring performance. Similar logic can be applied to the case using eT2 as ground-truth.</w:t>
      </w:r>
    </w:p>
    <w:p w14:paraId="725755DA" w14:textId="77777777" w:rsidR="00C028BE" w:rsidRDefault="00C028BE" w:rsidP="00C028BE">
      <w:pPr>
        <w:pStyle w:val="Observation"/>
        <w:rPr>
          <w:rFonts w:eastAsia="Times New Roman"/>
          <w:lang w:eastAsia="zh-CN"/>
        </w:rPr>
      </w:pPr>
      <w:bookmarkStart w:id="39" w:name="_Ref189860417"/>
      <w:r w:rsidRPr="00CE4F17">
        <w:rPr>
          <w:rFonts w:eastAsia="Times New Roman"/>
          <w:lang w:eastAsia="zh-CN"/>
        </w:rPr>
        <w:t>SGCS of good encoder/decoder has a wide range, it is hard to make decision unless enough samples are gathered to get a reliable statistic.</w:t>
      </w:r>
      <w:bookmarkEnd w:id="39"/>
    </w:p>
    <w:p w14:paraId="1B858E46" w14:textId="77777777" w:rsidR="00C028BE" w:rsidRDefault="00C028BE" w:rsidP="00C028BE">
      <w:pPr>
        <w:pStyle w:val="Observation"/>
        <w:keepNext/>
        <w:numPr>
          <w:ilvl w:val="0"/>
          <w:numId w:val="0"/>
        </w:numPr>
        <w:jc w:val="center"/>
      </w:pPr>
      <w:r>
        <w:rPr>
          <w:noProof/>
        </w:rPr>
        <w:lastRenderedPageBreak/>
        <w:drawing>
          <wp:inline distT="0" distB="0" distL="0" distR="0" wp14:anchorId="5B081D35" wp14:editId="61555165">
            <wp:extent cx="2965193" cy="2222622"/>
            <wp:effectExtent l="0" t="0" r="6985" b="6350"/>
            <wp:docPr id="1655131033" name="Picture 1"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131033" name="Picture 1" descr="A graph of data and information&#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2992488" cy="2243082"/>
                    </a:xfrm>
                    <a:prstGeom prst="rect">
                      <a:avLst/>
                    </a:prstGeom>
                  </pic:spPr>
                </pic:pic>
              </a:graphicData>
            </a:graphic>
          </wp:inline>
        </w:drawing>
      </w:r>
      <w:r>
        <w:rPr>
          <w:noProof/>
        </w:rPr>
        <w:drawing>
          <wp:inline distT="0" distB="0" distL="0" distR="0" wp14:anchorId="2120730C" wp14:editId="74EA67A7">
            <wp:extent cx="2949336" cy="2210739"/>
            <wp:effectExtent l="0" t="0" r="3810" b="0"/>
            <wp:docPr id="1801383302"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83302" name="Picture 2" descr="A graph of a number of data&#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971254" cy="2227168"/>
                    </a:xfrm>
                    <a:prstGeom prst="rect">
                      <a:avLst/>
                    </a:prstGeom>
                  </pic:spPr>
                </pic:pic>
              </a:graphicData>
            </a:graphic>
          </wp:inline>
        </w:drawing>
      </w:r>
    </w:p>
    <w:p w14:paraId="6DAFD37E" w14:textId="1A51FD23" w:rsidR="00C028BE" w:rsidRPr="00DE7154" w:rsidRDefault="00C028BE" w:rsidP="00C028BE">
      <w:pPr>
        <w:pStyle w:val="Caption"/>
        <w:rPr>
          <w:rFonts w:eastAsia="Times New Roman"/>
          <w:b w:val="0"/>
          <w:bCs w:val="0"/>
          <w:i/>
          <w:iCs/>
          <w:lang w:eastAsia="zh-CN"/>
        </w:rPr>
      </w:pPr>
      <w:bookmarkStart w:id="40" w:name="_Ref189824932"/>
      <w:r>
        <w:t xml:space="preserve">Figure </w:t>
      </w:r>
      <w:r w:rsidR="00D67F58">
        <w:fldChar w:fldCharType="begin"/>
      </w:r>
      <w:r w:rsidR="00D67F58">
        <w:instrText xml:space="preserve"> STYLEREF 1 \s </w:instrText>
      </w:r>
      <w:r w:rsidR="00D67F58">
        <w:fldChar w:fldCharType="separate"/>
      </w:r>
      <w:r w:rsidR="00631423">
        <w:rPr>
          <w:noProof/>
        </w:rPr>
        <w:t>5</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1</w:t>
      </w:r>
      <w:r w:rsidR="00D67F58">
        <w:fldChar w:fldCharType="end"/>
      </w:r>
      <w:bookmarkEnd w:id="40"/>
      <w:r>
        <w:t>: CDF of SGCS generated without (dataset A) and with data drift (dataset B), left: using eT2-PC6 as ground-truth, right: using genie ground-truth. Dataset A is Dense Urban, dataset B is indoor hotspot.</w:t>
      </w:r>
    </w:p>
    <w:p w14:paraId="0C7E76EE" w14:textId="619F001F" w:rsidR="009C4C9E" w:rsidRDefault="00C028BE" w:rsidP="00C028BE">
      <w:r>
        <w:t xml:space="preserve">Another fact learned from </w:t>
      </w:r>
      <w:r>
        <w:fldChar w:fldCharType="begin"/>
      </w:r>
      <w:r>
        <w:instrText xml:space="preserve"> REF _Ref189824932 \h </w:instrText>
      </w:r>
      <w:r>
        <w:fldChar w:fldCharType="separate"/>
      </w:r>
      <w:r w:rsidR="00631423">
        <w:t xml:space="preserve">Figure </w:t>
      </w:r>
      <w:r w:rsidR="00631423">
        <w:rPr>
          <w:noProof/>
        </w:rPr>
        <w:t>5</w:t>
      </w:r>
      <w:r w:rsidR="00631423">
        <w:noBreakHyphen/>
      </w:r>
      <w:r w:rsidR="00631423">
        <w:rPr>
          <w:noProof/>
        </w:rPr>
        <w:t>1</w:t>
      </w:r>
      <w:r>
        <w:fldChar w:fldCharType="end"/>
      </w:r>
      <w:r>
        <w:t xml:space="preserve"> is that,  the accuracy of SGCS estimate may not matter much; whether SGCS estimate is perfectly accurate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m:t>
        </m:r>
      </m:oMath>
      <w:r>
        <w:t xml:space="preserve">) or a little bit off (e.g.,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=0.61</m:t>
        </m:r>
      </m:oMath>
      <w:r>
        <w:t xml:space="preserve">) does not probably matter much in the monitoring decision, as the </w:t>
      </w:r>
      <w:r w:rsidRPr="007157FF">
        <w:rPr>
          <w:b/>
          <w:bCs/>
        </w:rPr>
        <w:t>dominating factor is the natural SGCS variation</w:t>
      </w:r>
      <w:r w:rsidR="00AD1625" w:rsidRPr="007157FF">
        <w:rPr>
          <w:b/>
          <w:bCs/>
        </w:rPr>
        <w:t xml:space="preserve"> in consistent inference set (dataset A) vs. the SGCS variation in inconsistent inference set (dataset B)</w:t>
      </w:r>
      <w:r>
        <w:t>. We can see this by comparing SGCS CDF resulted by eT2 as ground-truth vs. the SGCS CDF with genie ground-truth. Although CDF curves are a bit biased</w:t>
      </w:r>
      <w:r w:rsidR="00C214FE">
        <w:t xml:space="preserve"> (left figure vs. right figure)</w:t>
      </w:r>
      <w:r>
        <w:t>, one can still make decisions based on the statistics of eT2 curve. For instance,</w:t>
      </w:r>
      <w:r w:rsidR="001457EE">
        <w:t xml:space="preserve"> looking at the cyan curve (N=40) where enough samples are </w:t>
      </w:r>
      <w:r w:rsidR="0036528C">
        <w:t>seen</w:t>
      </w:r>
      <w:r w:rsidR="001457EE">
        <w:t xml:space="preserve">, </w:t>
      </w:r>
      <w:r w:rsidR="008A7339">
        <w:t xml:space="preserve">one can choose </w:t>
      </w:r>
      <w:r w:rsidR="004435BA">
        <w:t xml:space="preserve">the SGCS that achieves </w:t>
      </w:r>
      <w:r w:rsidR="003310D8">
        <w:t>5</w:t>
      </w:r>
      <w:r w:rsidR="004435BA">
        <w:t xml:space="preserve">% </w:t>
      </w:r>
      <w:r w:rsidR="007157FF">
        <w:t xml:space="preserve">false alarm rate as the threshold and compare the </w:t>
      </w:r>
      <w:r w:rsidR="009C4C9E">
        <w:t>miss detection rate on that threshold. Specifically,</w:t>
      </w:r>
    </w:p>
    <w:p w14:paraId="2FE95B1E" w14:textId="68ED681F" w:rsidR="009C4C9E" w:rsidRDefault="009C4C9E" w:rsidP="00C028BE">
      <w:r>
        <w:t>Using genie ground-truth</w:t>
      </w:r>
      <w:r w:rsidR="00AD797D">
        <w:t xml:space="preserve"> (left figure)</w:t>
      </w:r>
      <w:r>
        <w:t xml:space="preserve">, the </w:t>
      </w:r>
      <w:r w:rsidR="00054C4B">
        <w:t xml:space="preserve">SGCS threshold achieving </w:t>
      </w:r>
      <w:r w:rsidR="003310D8">
        <w:t>5</w:t>
      </w:r>
      <w:r w:rsidR="00054C4B">
        <w:t xml:space="preserve">% false alarm rate would be </w:t>
      </w:r>
      <w:r w:rsidR="00AD797D">
        <w:t>around</w:t>
      </w:r>
      <w:r w:rsidR="003310D8">
        <w:t xml:space="preserve"> 0.77 (read from the solid cyan curve). </w:t>
      </w:r>
      <w:r w:rsidR="00EC57B6">
        <w:t>Assuming any samples above this threshold would be the “in-distribution”, then t</w:t>
      </w:r>
      <w:r w:rsidR="003310D8">
        <w:t>his would result in a miss-detection rate of</w:t>
      </w:r>
      <w:r w:rsidR="00311462">
        <w:t xml:space="preserve"> 2~3% (read from dashed cyan curve at SGCS=0.77).</w:t>
      </w:r>
    </w:p>
    <w:p w14:paraId="4AAAF426" w14:textId="161F4F09" w:rsidR="00311462" w:rsidRDefault="00311462" w:rsidP="00C028BE">
      <w:r>
        <w:t xml:space="preserve">Similarly, using eT2 as ground-truth (right figure), one </w:t>
      </w:r>
      <w:r w:rsidR="00010FBC">
        <w:t>may</w:t>
      </w:r>
      <w:r>
        <w:t xml:space="preserve"> set the SGCS threshold achieving 5% false alarm rate being 0.78 (read from the solid cyan curve)</w:t>
      </w:r>
      <w:r w:rsidR="00010FBC">
        <w:t>. Assuming any samples above this threshold would be the “in-distribution”, then this would result in a miss-detection rate of 2% (read from dashed cyan curve at SGCS=0.78).</w:t>
      </w:r>
    </w:p>
    <w:p w14:paraId="07FE7ED1" w14:textId="77777777" w:rsidR="00C028BE" w:rsidRDefault="00C028BE" w:rsidP="00C028BE">
      <w:pPr>
        <w:pStyle w:val="Observation"/>
        <w:rPr>
          <w:lang w:eastAsia="zh-CN"/>
        </w:rPr>
      </w:pPr>
      <w:bookmarkStart w:id="41" w:name="_Ref189860425"/>
      <w:r>
        <w:rPr>
          <w:lang w:eastAsia="zh-CN"/>
        </w:rPr>
        <w:t>High m</w:t>
      </w:r>
      <w:r w:rsidRPr="00E81997">
        <w:rPr>
          <w:lang w:eastAsia="zh-CN"/>
        </w:rPr>
        <w:t xml:space="preserve">onitoring accuracy </w:t>
      </w:r>
      <w:r>
        <w:rPr>
          <w:lang w:eastAsia="zh-CN"/>
        </w:rPr>
        <w:t>may</w:t>
      </w:r>
      <w:r w:rsidRPr="00E81997">
        <w:rPr>
          <w:lang w:eastAsia="zh-CN"/>
        </w:rPr>
        <w:t xml:space="preserve"> not matter much in monitoring decision, the dominating factor is the natural SGCS variation</w:t>
      </w:r>
      <w:r>
        <w:rPr>
          <w:lang w:eastAsia="zh-CN"/>
        </w:rPr>
        <w:t>.</w:t>
      </w:r>
      <w:bookmarkEnd w:id="41"/>
    </w:p>
    <w:p w14:paraId="6FB83647" w14:textId="49BBAE62" w:rsidR="00864F55" w:rsidRPr="00E81997" w:rsidRDefault="00CE14E4" w:rsidP="00C028BE">
      <w:pPr>
        <w:pStyle w:val="Observation"/>
        <w:rPr>
          <w:lang w:eastAsia="zh-CN"/>
        </w:rPr>
      </w:pPr>
      <w:bookmarkStart w:id="42" w:name="_Ref194072094"/>
      <w:r>
        <w:rPr>
          <w:lang w:eastAsia="zh-CN"/>
        </w:rPr>
        <w:t xml:space="preserve">Although SGCS CDF curve using eT2 as ground-truth is a bit biased </w:t>
      </w:r>
      <w:r w:rsidR="00D676EF">
        <w:rPr>
          <w:lang w:eastAsia="zh-CN"/>
        </w:rPr>
        <w:t xml:space="preserve">from </w:t>
      </w:r>
      <w:r>
        <w:rPr>
          <w:lang w:eastAsia="zh-CN"/>
        </w:rPr>
        <w:t>genie ground-truth</w:t>
      </w:r>
      <w:r w:rsidR="00D676EF">
        <w:rPr>
          <w:lang w:eastAsia="zh-CN"/>
        </w:rPr>
        <w:t xml:space="preserve">, one can still make decision </w:t>
      </w:r>
      <w:r w:rsidR="00B56F90">
        <w:rPr>
          <w:lang w:eastAsia="zh-CN"/>
        </w:rPr>
        <w:t xml:space="preserve">by </w:t>
      </w:r>
      <w:r w:rsidR="001D245C">
        <w:rPr>
          <w:lang w:eastAsia="zh-CN"/>
        </w:rPr>
        <w:t xml:space="preserve">eT2 curve. This is because the </w:t>
      </w:r>
      <w:r w:rsidR="00563731">
        <w:rPr>
          <w:lang w:eastAsia="zh-CN"/>
        </w:rPr>
        <w:t>difference in dataset A curve</w:t>
      </w:r>
      <w:r w:rsidR="00753E08">
        <w:rPr>
          <w:lang w:eastAsia="zh-CN"/>
        </w:rPr>
        <w:t xml:space="preserve"> (“in-distribution” CDF)</w:t>
      </w:r>
      <w:r w:rsidR="00563731">
        <w:rPr>
          <w:lang w:eastAsia="zh-CN"/>
        </w:rPr>
        <w:t xml:space="preserve"> and dataset B curve</w:t>
      </w:r>
      <w:r w:rsidR="00753E08">
        <w:rPr>
          <w:lang w:eastAsia="zh-CN"/>
        </w:rPr>
        <w:t xml:space="preserve"> (“out-of-distribution” CDF)</w:t>
      </w:r>
      <w:r w:rsidR="00563731">
        <w:rPr>
          <w:lang w:eastAsia="zh-CN"/>
        </w:rPr>
        <w:t xml:space="preserve"> is</w:t>
      </w:r>
      <w:r w:rsidR="00C214FE">
        <w:rPr>
          <w:lang w:eastAsia="zh-CN"/>
        </w:rPr>
        <w:t xml:space="preserve"> relatively</w:t>
      </w:r>
      <w:r w:rsidR="00563731">
        <w:rPr>
          <w:lang w:eastAsia="zh-CN"/>
        </w:rPr>
        <w:t xml:space="preserve"> consistent </w:t>
      </w:r>
      <w:r w:rsidR="00C214FE">
        <w:rPr>
          <w:lang w:eastAsia="zh-CN"/>
        </w:rPr>
        <w:t>no matter making decision using eT2 curve or genie curve.</w:t>
      </w:r>
      <w:bookmarkEnd w:id="42"/>
    </w:p>
    <w:p w14:paraId="4953BFF0" w14:textId="77777777" w:rsidR="00C028BE" w:rsidRDefault="00C028BE" w:rsidP="00C028BE">
      <w:r>
        <w:t>Therefore, study is needed to determine monitoring accuracy requirement.</w:t>
      </w:r>
    </w:p>
    <w:p w14:paraId="2CF733E1" w14:textId="77777777" w:rsidR="00C028BE" w:rsidRPr="00E81997" w:rsidRDefault="00C028BE" w:rsidP="00C028BE">
      <w:pPr>
        <w:pStyle w:val="Observation"/>
        <w:rPr>
          <w:lang w:eastAsia="zh-CN"/>
        </w:rPr>
      </w:pPr>
      <w:bookmarkStart w:id="43" w:name="_Ref189860432"/>
      <w:r>
        <w:rPr>
          <w:lang w:eastAsia="zh-CN"/>
        </w:rPr>
        <w:t>Study is needed to determine monitoring accuracy requirement.</w:t>
      </w:r>
      <w:bookmarkEnd w:id="43"/>
    </w:p>
    <w:p w14:paraId="228E027A" w14:textId="77777777" w:rsidR="00C028BE" w:rsidRDefault="00C028BE" w:rsidP="00C028BE">
      <w:r>
        <w:t xml:space="preserve">One way to determine the monitoring accuracy requirement is by evaluating how the monitoring accuracy affects monitoring decision. A reasonable metric with which to make a monitoring </w:t>
      </w:r>
      <w:r w:rsidRPr="007B3A92">
        <w:rPr>
          <w:b/>
        </w:rPr>
        <w:t>decision</w:t>
      </w:r>
      <w:r>
        <w:t xml:space="preserve"> is the average of the SGCS estimate </w:t>
      </w:r>
      <m:oMath>
        <m:r>
          <w:rPr>
            <w:rFonts w:ascii="Cambria Math" w:hAnsi="Cambria Math"/>
          </w:rPr>
          <m:t>Avg(SGC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m:t>
        </m:r>
      </m:oMath>
      <w:r>
        <w:t xml:space="preserve"> taken over N number of samples. A monitoring decision may be made, for example, by comparing </w:t>
      </w:r>
      <m:oMath>
        <m:r>
          <w:rPr>
            <w:rFonts w:ascii="Cambria Math" w:hAnsi="Cambria Math"/>
          </w:rPr>
          <m:t>Avg(SGC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m:t>
        </m:r>
      </m:oMath>
      <w:r>
        <w:t xml:space="preserve"> against a pre-defined threshold.</w:t>
      </w:r>
    </w:p>
    <w:p w14:paraId="3D01BD97" w14:textId="77777777" w:rsidR="00C028BE" w:rsidRDefault="00C028BE" w:rsidP="004A2378">
      <w:pPr>
        <w:pStyle w:val="ListParagraph"/>
        <w:numPr>
          <w:ilvl w:val="0"/>
          <w:numId w:val="13"/>
        </w:numPr>
      </w:pPr>
      <m:oMath>
        <m:r>
          <w:rPr>
            <w:rFonts w:ascii="Cambria Math" w:hAnsi="Cambria Math"/>
          </w:rPr>
          <w:lastRenderedPageBreak/>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w:r>
        <w:t xml:space="preserve"> </w:t>
      </w:r>
      <w:r>
        <w:rPr>
          <w:rFonts w:ascii="Wingdings" w:eastAsia="Wingdings" w:hAnsi="Wingdings" w:cs="Wingdings"/>
        </w:rPr>
        <w:t>è</w:t>
      </w:r>
      <w:r>
        <w:t xml:space="preserve"> declare that there is an issue and trigger an action (i.e., deactivation, re-training)</w:t>
      </w:r>
    </w:p>
    <w:p w14:paraId="06D31756" w14:textId="77777777" w:rsidR="00C028BE" w:rsidRDefault="00C028BE" w:rsidP="004A2378">
      <w:pPr>
        <w:pStyle w:val="ListParagraph"/>
        <w:numPr>
          <w:ilvl w:val="0"/>
          <w:numId w:val="12"/>
        </w:numPr>
      </w:pP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w:r>
        <w:t xml:space="preserve"> </w:t>
      </w:r>
      <w:r>
        <w:rPr>
          <w:rFonts w:ascii="Wingdings" w:eastAsia="Wingdings" w:hAnsi="Wingdings" w:cs="Wingdings"/>
        </w:rPr>
        <w:t>è</w:t>
      </w:r>
      <w:r>
        <w:t xml:space="preserve"> declare that there is no issue, and no monitoring action is needed.</w:t>
      </w:r>
    </w:p>
    <w:p w14:paraId="6B32EAAC" w14:textId="77777777" w:rsidR="00C028BE" w:rsidRDefault="00C028BE" w:rsidP="00C028BE">
      <w:r>
        <w:t xml:space="preserve">If there is no underlying issue but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w:r>
        <w:t>, it will lead to unnecessary monitoring actions (i.e., deactivation, re-training). This is a false alarm scenario.</w:t>
      </w:r>
    </w:p>
    <w:p w14:paraId="1B61BDAD" w14:textId="77777777" w:rsidR="00C028BE" w:rsidRDefault="00C028BE" w:rsidP="00C028BE">
      <w:r>
        <w:t xml:space="preserve">If there is an underlying issue but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w:r>
        <w:t>, it will lead to performance degradation due to the undetected issue. This is a miss-detection scenario.</w:t>
      </w:r>
    </w:p>
    <w:p w14:paraId="0FB64CA0" w14:textId="77777777" w:rsidR="00C028BE" w:rsidRDefault="00C028BE" w:rsidP="00C028BE">
      <w:r>
        <w:t xml:space="preserve">This implies the following metrics for monitoring accuracy requirement evaluation shown in </w:t>
      </w:r>
      <w:r>
        <w:fldChar w:fldCharType="begin"/>
      </w:r>
      <w:r>
        <w:instrText xml:space="preserve"> REF _Ref189825203 \h </w:instrText>
      </w:r>
      <w:r>
        <w:fldChar w:fldCharType="separate"/>
      </w:r>
      <w:r w:rsidR="00631423">
        <w:t xml:space="preserve">Table </w:t>
      </w:r>
      <w:r w:rsidR="00631423">
        <w:rPr>
          <w:noProof/>
        </w:rPr>
        <w:t>5</w:t>
      </w:r>
      <w:r w:rsidR="00631423">
        <w:noBreakHyphen/>
      </w:r>
      <w:r w:rsidR="00631423">
        <w:rPr>
          <w:noProof/>
        </w:rPr>
        <w:t>1</w:t>
      </w:r>
      <w:r>
        <w:fldChar w:fldCharType="end"/>
      </w:r>
      <w:r>
        <w:t>:</w:t>
      </w:r>
    </w:p>
    <w:p w14:paraId="5FA64122" w14:textId="66EB878B" w:rsidR="00C028BE" w:rsidRDefault="00C028BE" w:rsidP="00C028BE">
      <w:pPr>
        <w:pStyle w:val="Caption"/>
        <w:keepNext/>
        <w:spacing w:after="120"/>
      </w:pPr>
      <w:bookmarkStart w:id="44" w:name="_Ref189825203"/>
      <w:r>
        <w:t xml:space="preserve">Table </w:t>
      </w:r>
      <w:r w:rsidR="0070386D">
        <w:fldChar w:fldCharType="begin"/>
      </w:r>
      <w:r w:rsidR="0070386D">
        <w:instrText xml:space="preserve"> STYLEREF 1 \s </w:instrText>
      </w:r>
      <w:r w:rsidR="0070386D">
        <w:fldChar w:fldCharType="separate"/>
      </w:r>
      <w:r w:rsidR="00631423">
        <w:rPr>
          <w:noProof/>
        </w:rPr>
        <w:t>5</w:t>
      </w:r>
      <w:r w:rsidR="0070386D">
        <w:fldChar w:fldCharType="end"/>
      </w:r>
      <w:r w:rsidR="0070386D">
        <w:noBreakHyphen/>
      </w:r>
      <w:r w:rsidR="0070386D">
        <w:fldChar w:fldCharType="begin"/>
      </w:r>
      <w:r w:rsidR="0070386D">
        <w:instrText xml:space="preserve"> SEQ Table \* ARABIC \s 1 </w:instrText>
      </w:r>
      <w:r w:rsidR="0070386D">
        <w:fldChar w:fldCharType="separate"/>
      </w:r>
      <w:r w:rsidR="00631423">
        <w:rPr>
          <w:noProof/>
        </w:rPr>
        <w:t>1</w:t>
      </w:r>
      <w:r w:rsidR="0070386D">
        <w:fldChar w:fldCharType="end"/>
      </w:r>
      <w:bookmarkEnd w:id="44"/>
      <w:r>
        <w:t>: Decision making table for performance monitoring based on average SGCS and threshold value</w:t>
      </w:r>
    </w:p>
    <w:tbl>
      <w:tblPr>
        <w:tblStyle w:val="TableGrid"/>
        <w:tblW w:w="0" w:type="auto"/>
        <w:tblLook w:val="04A0" w:firstRow="1" w:lastRow="0" w:firstColumn="1" w:lastColumn="0" w:noHBand="0" w:noVBand="1"/>
      </w:tblPr>
      <w:tblGrid>
        <w:gridCol w:w="3116"/>
        <w:gridCol w:w="3117"/>
        <w:gridCol w:w="3117"/>
      </w:tblGrid>
      <w:tr w:rsidR="00C028BE" w14:paraId="21F44ACE" w14:textId="77777777">
        <w:tc>
          <w:tcPr>
            <w:tcW w:w="3116" w:type="dxa"/>
            <w:vAlign w:val="center"/>
          </w:tcPr>
          <w:p w14:paraId="081D993C" w14:textId="77777777" w:rsidR="00C028BE" w:rsidRDefault="00C028BE">
            <w:pPr>
              <w:jc w:val="center"/>
            </w:pPr>
          </w:p>
        </w:tc>
        <w:tc>
          <w:tcPr>
            <w:tcW w:w="3117" w:type="dxa"/>
            <w:vAlign w:val="center"/>
          </w:tcPr>
          <w:p w14:paraId="728C4B24" w14:textId="77777777" w:rsidR="00C028BE" w:rsidRDefault="00C028BE">
            <w:pPr>
              <w:jc w:val="center"/>
            </w:pPr>
            <w:r>
              <w:t>There is no underlying issue (i.e., test distribution is the same as training distribution)</w:t>
            </w:r>
          </w:p>
        </w:tc>
        <w:tc>
          <w:tcPr>
            <w:tcW w:w="3117" w:type="dxa"/>
            <w:vAlign w:val="center"/>
          </w:tcPr>
          <w:p w14:paraId="0B2B94B3" w14:textId="77777777" w:rsidR="00C028BE" w:rsidRDefault="00C028BE">
            <w:pPr>
              <w:jc w:val="center"/>
            </w:pPr>
            <w:r>
              <w:t>There is an underlying issue (i.e., test distribution is different from training distribution)</w:t>
            </w:r>
          </w:p>
        </w:tc>
      </w:tr>
      <w:tr w:rsidR="00C028BE" w14:paraId="65E2667D" w14:textId="77777777">
        <w:tc>
          <w:tcPr>
            <w:tcW w:w="3116" w:type="dxa"/>
            <w:vAlign w:val="center"/>
          </w:tcPr>
          <w:p w14:paraId="33E68805" w14:textId="77777777" w:rsidR="00C028BE" w:rsidRDefault="00C028BE">
            <w:pPr>
              <w:jc w:val="center"/>
            </w:pPr>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m:oMathPara>
          </w:p>
        </w:tc>
        <w:tc>
          <w:tcPr>
            <w:tcW w:w="3117" w:type="dxa"/>
            <w:vAlign w:val="center"/>
          </w:tcPr>
          <w:p w14:paraId="2DFCF0B9" w14:textId="77777777" w:rsidR="00C028BE" w:rsidRDefault="00C028BE">
            <w:pPr>
              <w:jc w:val="center"/>
            </w:pPr>
          </w:p>
        </w:tc>
        <w:tc>
          <w:tcPr>
            <w:tcW w:w="3117" w:type="dxa"/>
            <w:vAlign w:val="center"/>
          </w:tcPr>
          <w:p w14:paraId="5BABB8EE" w14:textId="77777777" w:rsidR="00C028BE" w:rsidRDefault="00C028BE">
            <w:pPr>
              <w:jc w:val="center"/>
            </w:pPr>
            <w:r>
              <w:t>Miss-detection (Undetected issue)</w:t>
            </w:r>
          </w:p>
        </w:tc>
      </w:tr>
      <w:tr w:rsidR="00C028BE" w14:paraId="4ED70EBE" w14:textId="77777777">
        <w:tc>
          <w:tcPr>
            <w:tcW w:w="3116" w:type="dxa"/>
            <w:vAlign w:val="center"/>
          </w:tcPr>
          <w:p w14:paraId="3982B60F" w14:textId="77777777" w:rsidR="00C028BE" w:rsidRDefault="00C028BE">
            <w:pPr>
              <w:jc w:val="center"/>
            </w:pPr>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m:oMathPara>
          </w:p>
        </w:tc>
        <w:tc>
          <w:tcPr>
            <w:tcW w:w="3117" w:type="dxa"/>
            <w:vAlign w:val="center"/>
          </w:tcPr>
          <w:p w14:paraId="668F1F76" w14:textId="77777777" w:rsidR="00C028BE" w:rsidRDefault="00C028BE">
            <w:pPr>
              <w:jc w:val="center"/>
            </w:pPr>
            <w:r>
              <w:t>False alarm (Unnecessary monitoring actions)</w:t>
            </w:r>
          </w:p>
        </w:tc>
        <w:tc>
          <w:tcPr>
            <w:tcW w:w="3117" w:type="dxa"/>
            <w:vAlign w:val="center"/>
          </w:tcPr>
          <w:p w14:paraId="1BB6CCAF" w14:textId="77777777" w:rsidR="00C028BE" w:rsidRDefault="00C028BE">
            <w:pPr>
              <w:jc w:val="center"/>
            </w:pPr>
          </w:p>
        </w:tc>
      </w:tr>
    </w:tbl>
    <w:p w14:paraId="2B5D7F91" w14:textId="77777777" w:rsidR="00C028BE" w:rsidRDefault="00C028BE" w:rsidP="00C028BE">
      <w:pPr>
        <w:spacing w:before="120"/>
      </w:pPr>
      <w:r>
        <w:t>With above discussion in mind, we consider the following evaluation methodology for determining monitoring accuracy requirement:</w:t>
      </w:r>
    </w:p>
    <w:p w14:paraId="3CF3B0C6" w14:textId="77777777" w:rsidR="00C028BE" w:rsidRDefault="00C028BE" w:rsidP="004A2378">
      <w:pPr>
        <w:pStyle w:val="ListParagraph"/>
        <w:numPr>
          <w:ilvl w:val="0"/>
          <w:numId w:val="12"/>
        </w:numPr>
      </w:pPr>
      <w:r>
        <w:t>Generate a dataset A and develop an encoder-decoder pair E1D1 under this dataset A. Running inference on this dataset is considered to be the normal scenario where no underlying issue occurs.</w:t>
      </w:r>
    </w:p>
    <w:p w14:paraId="6BD16043" w14:textId="77777777" w:rsidR="00C028BE" w:rsidRDefault="00C028BE" w:rsidP="004A2378">
      <w:pPr>
        <w:pStyle w:val="ListParagraph"/>
        <w:numPr>
          <w:ilvl w:val="1"/>
          <w:numId w:val="12"/>
        </w:numPr>
      </w:pPr>
      <w:r>
        <w:t xml:space="preserve">A false-alarm event occurs if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oMath>
      <w:r>
        <w:t xml:space="preserve"> where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i/>
              </w:rPr>
            </m:ctrlPr>
          </m:sSubPr>
          <m:e>
            <m:r>
              <w:rPr>
                <w:rFonts w:ascii="Cambria Math" w:hAnsi="Cambria Math"/>
              </w:rPr>
              <m:t>p</m:t>
            </m:r>
          </m:e>
          <m:sub>
            <m:r>
              <w:rPr>
                <w:rFonts w:ascii="Cambria Math" w:hAnsi="Cambria Math"/>
              </w:rPr>
              <m:t>FA</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t xml:space="preserve"> is defined as number of false-alarm events divided by the total number of samples in dataset A.</w:t>
      </w:r>
    </w:p>
    <w:p w14:paraId="5A66DD5A" w14:textId="77777777" w:rsidR="00C028BE" w:rsidRDefault="00C028BE" w:rsidP="004A2378">
      <w:pPr>
        <w:pStyle w:val="ListParagraph"/>
        <w:numPr>
          <w:ilvl w:val="0"/>
          <w:numId w:val="12"/>
        </w:numPr>
      </w:pPr>
      <w:r>
        <w:t>Generate a dataset B from a different distribution than dataset A. Running inference on this dataset using E1D1 is considered to be the abnormal scenario where underlying issue (e.g., data drift) occurs.</w:t>
      </w:r>
    </w:p>
    <w:p w14:paraId="3746BF01" w14:textId="77777777" w:rsidR="00C028BE" w:rsidRDefault="00C028BE" w:rsidP="004A2378">
      <w:pPr>
        <w:pStyle w:val="ListParagraph"/>
        <w:numPr>
          <w:ilvl w:val="1"/>
          <w:numId w:val="12"/>
        </w:numPr>
      </w:pPr>
      <w:r>
        <w:t xml:space="preserve">A miss-detection event occurs if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oMath>
      <w:r>
        <w:t xml:space="preserve"> where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i/>
              </w:rPr>
            </m:ctrlPr>
          </m:sSubPr>
          <m:e>
            <m:r>
              <w:rPr>
                <w:rFonts w:ascii="Cambria Math" w:hAnsi="Cambria Math"/>
              </w:rPr>
              <m:t>p</m:t>
            </m:r>
          </m:e>
          <m:sub>
            <m:r>
              <w:rPr>
                <w:rFonts w:ascii="Cambria Math" w:hAnsi="Cambria Math"/>
              </w:rPr>
              <m:t>MD</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t xml:space="preserve"> is defined as number of miss-detections events divided by the total number of samples in dataset B.</w:t>
      </w:r>
    </w:p>
    <w:p w14:paraId="301A6620" w14:textId="77777777" w:rsidR="00C028BE" w:rsidRDefault="00C028BE" w:rsidP="004A2378">
      <w:pPr>
        <w:pStyle w:val="ListParagraph"/>
        <w:numPr>
          <w:ilvl w:val="0"/>
          <w:numId w:val="12"/>
        </w:numPr>
      </w:pPr>
      <w:r>
        <w:t xml:space="preserve">For various values of N, for the given ground truth reporting scheme (eType2, higher-resolution eTypew2, etc.), and for a given false-alarm probability requirement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t xml:space="preserve">, companies to report the detection probability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=1-p</m:t>
            </m:r>
          </m:e>
          <m:sub>
            <m:r>
              <w:rPr>
                <w:rFonts w:ascii="Cambria Math" w:hAnsi="Cambria Math"/>
              </w:rPr>
              <m:t>MD</m:t>
            </m:r>
          </m:sub>
        </m:sSub>
        <m:d>
          <m:dPr>
            <m:ctrlPr>
              <w:rPr>
                <w:rFonts w:ascii="Cambria Math" w:hAnsi="Cambria Math"/>
                <w:i/>
              </w:rPr>
            </m:ctrlPr>
          </m:dPr>
          <m:e>
            <m:r>
              <w:rPr>
                <w:rFonts w:ascii="Cambria Math" w:hAnsi="Cambria Math"/>
              </w:rPr>
              <m:t>N</m:t>
            </m:r>
          </m:e>
        </m:d>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t xml:space="preserve"> corresponding to each chosen N, where the SGCS threshold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d>
          <m:dPr>
            <m:ctrlPr>
              <w:rPr>
                <w:rFonts w:ascii="Cambria Math" w:hAnsi="Cambria Math"/>
                <w:i/>
              </w:rPr>
            </m:ctrlPr>
          </m:dPr>
          <m:e>
            <m:r>
              <w:rPr>
                <w:rFonts w:ascii="Cambria Math" w:hAnsi="Cambria Math"/>
              </w:rPr>
              <m:t>N</m:t>
            </m:r>
          </m:e>
        </m:d>
      </m:oMath>
      <w:r>
        <w:t xml:space="preserve"> for deriving the detection probability </w:t>
      </w:r>
      <m:oMath>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 xml:space="preserve"> </m:t>
        </m:r>
      </m:oMath>
      <w:r>
        <w:t xml:space="preserve">is determined as the value that achieves the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t>. Companies to also report the total feedback overhead over the N occasions.</w:t>
      </w:r>
    </w:p>
    <w:p w14:paraId="7FCCAE84" w14:textId="77777777" w:rsidR="00C028BE" w:rsidRDefault="00C028BE" w:rsidP="004A2378">
      <w:pPr>
        <w:pStyle w:val="ListParagraph"/>
        <w:numPr>
          <w:ilvl w:val="0"/>
          <w:numId w:val="12"/>
        </w:numPr>
      </w:pPr>
      <w:r>
        <w:t xml:space="preserve">Companies to also report the required value of N that achieves </w:t>
      </w:r>
      <m:oMath>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det_req</m:t>
            </m:r>
          </m:sub>
        </m:sSub>
      </m:oMath>
      <w:r>
        <w:t>.</w:t>
      </w:r>
    </w:p>
    <w:p w14:paraId="6A4FF670" w14:textId="77777777" w:rsidR="00C028BE" w:rsidRDefault="00C028BE" w:rsidP="004A2378">
      <w:pPr>
        <w:pStyle w:val="ListParagraph"/>
        <w:numPr>
          <w:ilvl w:val="0"/>
          <w:numId w:val="12"/>
        </w:numPr>
      </w:pPr>
      <w:r>
        <w:t>Monitoring accuracy requirement can be derived based on the value N and the accuracy of the ground truth report (i.e., eType2, higher-resolution eType2) that provides satisfactory monitoring decision performance.</w:t>
      </w:r>
    </w:p>
    <w:p w14:paraId="18AE0387" w14:textId="77777777" w:rsidR="00C028BE" w:rsidRDefault="00C028BE" w:rsidP="00C028BE">
      <w:pPr>
        <w:pStyle w:val="Proposal"/>
        <w:numPr>
          <w:ilvl w:val="0"/>
          <w:numId w:val="0"/>
        </w:numPr>
        <w:rPr>
          <w:b w:val="0"/>
          <w:bCs w:val="0"/>
          <w:i w:val="0"/>
          <w:iCs w:val="0"/>
        </w:rPr>
      </w:pPr>
      <w:r>
        <w:rPr>
          <w:b w:val="0"/>
          <w:bCs w:val="0"/>
          <w:i w:val="0"/>
          <w:iCs w:val="0"/>
        </w:rPr>
        <w:lastRenderedPageBreak/>
        <w:t>Next, considering the proposed methodology, we perform evaluation of NW side monitoring with ground-truth reporting and UE side monitoring using SGCS estimator. In the evaluation, we generate dataset A as DenseUrban scenario, while datast B as indoor hotspot scenario.</w:t>
      </w:r>
    </w:p>
    <w:p w14:paraId="66CA078A" w14:textId="77777777" w:rsidR="00C028BE" w:rsidRPr="00006CB4" w:rsidRDefault="00C028BE" w:rsidP="004A2378">
      <w:pPr>
        <w:pStyle w:val="Proposal"/>
        <w:numPr>
          <w:ilvl w:val="0"/>
          <w:numId w:val="11"/>
        </w:numPr>
        <w:rPr>
          <w:b w:val="0"/>
          <w:bCs w:val="0"/>
          <w:i w:val="0"/>
          <w:iCs w:val="0"/>
        </w:rPr>
      </w:pPr>
      <w:r w:rsidRPr="00006CB4">
        <w:rPr>
          <w:b w:val="0"/>
          <w:bCs w:val="0"/>
          <w:i w:val="0"/>
          <w:iCs w:val="0"/>
        </w:rPr>
        <w:t>For NW side monitoring, we consider ground-truth reporting using eT2 with various resolutions. Also, new parameter combinations of new_pc</w:t>
      </w:r>
      <w:r>
        <w:rPr>
          <w:b w:val="0"/>
          <w:bCs w:val="0"/>
          <w:i w:val="0"/>
          <w:iCs w:val="0"/>
        </w:rPr>
        <w:t>1</w:t>
      </w:r>
      <w:r w:rsidRPr="00006CB4">
        <w:rPr>
          <w:b w:val="0"/>
          <w:bCs w:val="0"/>
          <w:i w:val="0"/>
          <w:iCs w:val="0"/>
        </w:rPr>
        <w:t xml:space="preserve"> (L=8, p=1/2, 4-bit differential amplitude, around 832 bits), and new_pc</w:t>
      </w:r>
      <w:r>
        <w:rPr>
          <w:b w:val="0"/>
          <w:bCs w:val="0"/>
          <w:i w:val="0"/>
          <w:iCs w:val="0"/>
        </w:rPr>
        <w:t>2</w:t>
      </w:r>
      <w:r w:rsidRPr="00006CB4">
        <w:rPr>
          <w:b w:val="0"/>
          <w:bCs w:val="0"/>
          <w:i w:val="0"/>
          <w:iCs w:val="0"/>
        </w:rPr>
        <w:t xml:space="preserve"> (L=10, p=1/2, 4-bit differential amplitude, around 1031 bits) are considered.</w:t>
      </w:r>
    </w:p>
    <w:p w14:paraId="6F902D7E" w14:textId="54980BF9" w:rsidR="00C028BE" w:rsidRPr="00006CB4" w:rsidRDefault="00C028BE" w:rsidP="004A2378">
      <w:pPr>
        <w:pStyle w:val="Proposal"/>
        <w:numPr>
          <w:ilvl w:val="0"/>
          <w:numId w:val="11"/>
        </w:numPr>
        <w:rPr>
          <w:b w:val="0"/>
          <w:bCs w:val="0"/>
          <w:i w:val="0"/>
          <w:iCs w:val="0"/>
        </w:rPr>
      </w:pPr>
      <w:r w:rsidRPr="00006CB4">
        <w:rPr>
          <w:b w:val="0"/>
          <w:bCs w:val="0"/>
          <w:i w:val="0"/>
          <w:iCs w:val="0"/>
        </w:rPr>
        <w:t xml:space="preserve">For UE side monitoring, we develop an SGCS estimation model at the UE side which takes the latent information generated inside the UE-side model as input and outputs a predicted intermediate KPI (i.e., SGCS) directly. The total number of weights in the SGCS estimation model is around 13k, which is a very small fraction of the CSI generation model complexity. The block diagram is </w:t>
      </w:r>
      <w:r w:rsidRPr="00CE0F98">
        <w:rPr>
          <w:b w:val="0"/>
          <w:bCs w:val="0"/>
          <w:i w:val="0"/>
          <w:iCs w:val="0"/>
        </w:rPr>
        <w:t xml:space="preserve">shown in </w:t>
      </w:r>
      <w:r w:rsidRPr="00CE0F98">
        <w:rPr>
          <w:b w:val="0"/>
          <w:bCs w:val="0"/>
          <w:i w:val="0"/>
          <w:iCs w:val="0"/>
        </w:rPr>
        <w:fldChar w:fldCharType="begin"/>
      </w:r>
      <w:r w:rsidRPr="00CE0F98">
        <w:rPr>
          <w:b w:val="0"/>
          <w:bCs w:val="0"/>
          <w:i w:val="0"/>
          <w:iCs w:val="0"/>
        </w:rPr>
        <w:instrText xml:space="preserve"> REF _Ref189825286 \h </w:instrText>
      </w:r>
      <w:r w:rsidR="00CE0F98" w:rsidRPr="00CE0F98">
        <w:rPr>
          <w:b w:val="0"/>
          <w:bCs w:val="0"/>
          <w:i w:val="0"/>
          <w:iCs w:val="0"/>
        </w:rPr>
        <w:instrText xml:space="preserve"> \* MERGEFORMAT </w:instrText>
      </w:r>
      <w:r w:rsidRPr="00CE0F98">
        <w:rPr>
          <w:b w:val="0"/>
          <w:bCs w:val="0"/>
          <w:i w:val="0"/>
          <w:iCs w:val="0"/>
        </w:rPr>
      </w:r>
      <w:r w:rsidRPr="00CE0F98">
        <w:rPr>
          <w:b w:val="0"/>
          <w:bCs w:val="0"/>
          <w:i w:val="0"/>
          <w:iCs w:val="0"/>
        </w:rPr>
        <w:fldChar w:fldCharType="separate"/>
      </w:r>
      <w:r w:rsidR="00631423" w:rsidRPr="00631423">
        <w:rPr>
          <w:b w:val="0"/>
          <w:bCs w:val="0"/>
        </w:rPr>
        <w:t xml:space="preserve">Figure </w:t>
      </w:r>
      <w:r w:rsidR="00631423" w:rsidRPr="00631423">
        <w:rPr>
          <w:b w:val="0"/>
          <w:bCs w:val="0"/>
          <w:noProof/>
        </w:rPr>
        <w:t>5</w:t>
      </w:r>
      <w:r w:rsidR="00631423" w:rsidRPr="00631423">
        <w:rPr>
          <w:b w:val="0"/>
          <w:bCs w:val="0"/>
          <w:noProof/>
        </w:rPr>
        <w:noBreakHyphen/>
        <w:t>2</w:t>
      </w:r>
      <w:r w:rsidRPr="00CE0F98">
        <w:rPr>
          <w:b w:val="0"/>
          <w:bCs w:val="0"/>
          <w:i w:val="0"/>
          <w:iCs w:val="0"/>
        </w:rPr>
        <w:fldChar w:fldCharType="end"/>
      </w:r>
      <w:r w:rsidRPr="00006CB4">
        <w:rPr>
          <w:b w:val="0"/>
          <w:bCs w:val="0"/>
          <w:i w:val="0"/>
          <w:iCs w:val="0"/>
        </w:rPr>
        <w:t xml:space="preserve">. </w:t>
      </w:r>
    </w:p>
    <w:p w14:paraId="092E3E5A" w14:textId="77777777" w:rsidR="00C028BE" w:rsidRDefault="00C028BE" w:rsidP="00C028BE">
      <w:pPr>
        <w:pStyle w:val="Caption"/>
        <w:keepNext/>
      </w:pPr>
      <w:r>
        <w:rPr>
          <w:noProof/>
        </w:rPr>
        <w:drawing>
          <wp:inline distT="0" distB="0" distL="0" distR="0" wp14:anchorId="5F9758C5" wp14:editId="4C355502">
            <wp:extent cx="3676650" cy="1475993"/>
            <wp:effectExtent l="0" t="0" r="0" b="0"/>
            <wp:docPr id="1755495659" name="Picture 175549565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44646" name="Picture 1797444646" descr="A diagram of a computer pro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59202" cy="1509134"/>
                    </a:xfrm>
                    <a:prstGeom prst="rect">
                      <a:avLst/>
                    </a:prstGeom>
                    <a:noFill/>
                  </pic:spPr>
                </pic:pic>
              </a:graphicData>
            </a:graphic>
          </wp:inline>
        </w:drawing>
      </w:r>
    </w:p>
    <w:p w14:paraId="4E1AB4AC" w14:textId="162BC8D3" w:rsidR="00C028BE" w:rsidRDefault="00C028BE" w:rsidP="00C028BE">
      <w:pPr>
        <w:pStyle w:val="Caption"/>
      </w:pPr>
      <w:bookmarkStart w:id="45" w:name="_Ref189825286"/>
      <w:r>
        <w:t xml:space="preserve">Figure </w:t>
      </w:r>
      <w:r w:rsidR="00D67F58">
        <w:fldChar w:fldCharType="begin"/>
      </w:r>
      <w:r w:rsidR="00D67F58">
        <w:instrText xml:space="preserve"> STYLEREF 1 \s </w:instrText>
      </w:r>
      <w:r w:rsidR="00D67F58">
        <w:fldChar w:fldCharType="separate"/>
      </w:r>
      <w:r w:rsidR="00631423">
        <w:rPr>
          <w:noProof/>
        </w:rPr>
        <w:t>5</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2</w:t>
      </w:r>
      <w:r w:rsidR="00D67F58">
        <w:fldChar w:fldCharType="end"/>
      </w:r>
      <w:bookmarkEnd w:id="45"/>
      <w:r>
        <w:t>: SGCS estimation</w:t>
      </w:r>
      <w:r w:rsidRPr="00E55025">
        <w:t xml:space="preserve"> model on UE-side to estimate intermediate KPI</w:t>
      </w:r>
    </w:p>
    <w:p w14:paraId="71920A3D" w14:textId="77777777" w:rsidR="00C028BE" w:rsidRDefault="00C028BE" w:rsidP="00C028BE">
      <w:pPr>
        <w:pStyle w:val="Proposal"/>
        <w:numPr>
          <w:ilvl w:val="0"/>
          <w:numId w:val="0"/>
        </w:numPr>
        <w:rPr>
          <w:b w:val="0"/>
          <w:bCs w:val="0"/>
          <w:i w:val="0"/>
          <w:iCs w:val="0"/>
        </w:rPr>
      </w:pPr>
      <w:r>
        <w:rPr>
          <w:b w:val="0"/>
          <w:bCs w:val="0"/>
          <w:i w:val="0"/>
          <w:iCs w:val="0"/>
        </w:rPr>
        <w:t xml:space="preserve">The performance comparison is shown </w:t>
      </w:r>
      <w:r w:rsidRPr="00AF75DE">
        <w:rPr>
          <w:b w:val="0"/>
          <w:bCs w:val="0"/>
          <w:i w:val="0"/>
          <w:iCs w:val="0"/>
        </w:rPr>
        <w:t xml:space="preserve">in </w:t>
      </w:r>
      <w:r w:rsidRPr="00AF75DE">
        <w:rPr>
          <w:b w:val="0"/>
          <w:bCs w:val="0"/>
          <w:i w:val="0"/>
          <w:iCs w:val="0"/>
        </w:rPr>
        <w:fldChar w:fldCharType="begin"/>
      </w:r>
      <w:r w:rsidRPr="00AF75DE">
        <w:rPr>
          <w:b w:val="0"/>
          <w:bCs w:val="0"/>
          <w:i w:val="0"/>
          <w:iCs w:val="0"/>
        </w:rPr>
        <w:instrText xml:space="preserve"> REF _Ref189825404 \h  \* MERGEFORMAT </w:instrText>
      </w:r>
      <w:r w:rsidRPr="00AF75DE">
        <w:rPr>
          <w:b w:val="0"/>
          <w:bCs w:val="0"/>
          <w:i w:val="0"/>
          <w:iCs w:val="0"/>
        </w:rPr>
      </w:r>
      <w:r w:rsidRPr="00AF75DE">
        <w:rPr>
          <w:b w:val="0"/>
          <w:bCs w:val="0"/>
          <w:i w:val="0"/>
          <w:iCs w:val="0"/>
        </w:rPr>
        <w:fldChar w:fldCharType="separate"/>
      </w:r>
      <w:r w:rsidR="00631423" w:rsidRPr="00631423">
        <w:rPr>
          <w:b w:val="0"/>
          <w:bCs w:val="0"/>
          <w:i w:val="0"/>
          <w:iCs w:val="0"/>
        </w:rPr>
        <w:t xml:space="preserve">Figure </w:t>
      </w:r>
      <w:r w:rsidR="00631423" w:rsidRPr="00631423">
        <w:rPr>
          <w:b w:val="0"/>
          <w:bCs w:val="0"/>
          <w:i w:val="0"/>
          <w:iCs w:val="0"/>
          <w:noProof/>
        </w:rPr>
        <w:t>5</w:t>
      </w:r>
      <w:r w:rsidR="00631423" w:rsidRPr="00631423">
        <w:rPr>
          <w:b w:val="0"/>
          <w:bCs w:val="0"/>
          <w:i w:val="0"/>
          <w:iCs w:val="0"/>
          <w:noProof/>
        </w:rPr>
        <w:noBreakHyphen/>
        <w:t>3</w:t>
      </w:r>
      <w:r w:rsidRPr="00AF75DE">
        <w:rPr>
          <w:b w:val="0"/>
          <w:bCs w:val="0"/>
          <w:i w:val="0"/>
          <w:iCs w:val="0"/>
        </w:rPr>
        <w:fldChar w:fldCharType="end"/>
      </w:r>
      <w:r w:rsidRPr="00AF75DE">
        <w:rPr>
          <w:b w:val="0"/>
          <w:bCs w:val="0"/>
          <w:i w:val="0"/>
          <w:iCs w:val="0"/>
        </w:rPr>
        <w:t xml:space="preserve">, </w:t>
      </w:r>
      <w:r w:rsidRPr="00AF75DE">
        <w:rPr>
          <w:b w:val="0"/>
          <w:bCs w:val="0"/>
          <w:i w:val="0"/>
          <w:iCs w:val="0"/>
        </w:rPr>
        <w:fldChar w:fldCharType="begin"/>
      </w:r>
      <w:r w:rsidRPr="00AF75DE">
        <w:rPr>
          <w:b w:val="0"/>
          <w:bCs w:val="0"/>
          <w:i w:val="0"/>
          <w:iCs w:val="0"/>
        </w:rPr>
        <w:instrText xml:space="preserve"> REF _Ref189825413 \h  \* MERGEFORMAT </w:instrText>
      </w:r>
      <w:r w:rsidRPr="00AF75DE">
        <w:rPr>
          <w:b w:val="0"/>
          <w:bCs w:val="0"/>
          <w:i w:val="0"/>
          <w:iCs w:val="0"/>
        </w:rPr>
      </w:r>
      <w:r w:rsidRPr="00AF75DE">
        <w:rPr>
          <w:b w:val="0"/>
          <w:bCs w:val="0"/>
          <w:i w:val="0"/>
          <w:iCs w:val="0"/>
        </w:rPr>
        <w:fldChar w:fldCharType="separate"/>
      </w:r>
      <w:r w:rsidR="00631423" w:rsidRPr="00631423">
        <w:rPr>
          <w:b w:val="0"/>
          <w:bCs w:val="0"/>
          <w:i w:val="0"/>
          <w:iCs w:val="0"/>
        </w:rPr>
        <w:t xml:space="preserve">Figure </w:t>
      </w:r>
      <w:r w:rsidR="00631423" w:rsidRPr="00631423">
        <w:rPr>
          <w:b w:val="0"/>
          <w:bCs w:val="0"/>
          <w:i w:val="0"/>
          <w:iCs w:val="0"/>
          <w:noProof/>
        </w:rPr>
        <w:t>5</w:t>
      </w:r>
      <w:r w:rsidR="00631423" w:rsidRPr="00631423">
        <w:rPr>
          <w:b w:val="0"/>
          <w:bCs w:val="0"/>
          <w:i w:val="0"/>
          <w:iCs w:val="0"/>
          <w:noProof/>
        </w:rPr>
        <w:noBreakHyphen/>
        <w:t>4</w:t>
      </w:r>
      <w:r w:rsidRPr="00AF75DE">
        <w:rPr>
          <w:b w:val="0"/>
          <w:bCs w:val="0"/>
          <w:i w:val="0"/>
          <w:iCs w:val="0"/>
        </w:rPr>
        <w:fldChar w:fldCharType="end"/>
      </w:r>
      <w:r w:rsidRPr="00AF75DE">
        <w:rPr>
          <w:b w:val="0"/>
          <w:bCs w:val="0"/>
          <w:i w:val="0"/>
          <w:iCs w:val="0"/>
        </w:rPr>
        <w:t xml:space="preserve"> and </w:t>
      </w:r>
      <w:r w:rsidRPr="00AF75DE">
        <w:rPr>
          <w:b w:val="0"/>
          <w:bCs w:val="0"/>
          <w:i w:val="0"/>
          <w:iCs w:val="0"/>
        </w:rPr>
        <w:fldChar w:fldCharType="begin"/>
      </w:r>
      <w:r w:rsidRPr="00AF75DE">
        <w:rPr>
          <w:b w:val="0"/>
          <w:bCs w:val="0"/>
          <w:i w:val="0"/>
          <w:iCs w:val="0"/>
        </w:rPr>
        <w:instrText xml:space="preserve"> REF _Ref189825420 \h  \* MERGEFORMAT </w:instrText>
      </w:r>
      <w:r w:rsidRPr="00AF75DE">
        <w:rPr>
          <w:b w:val="0"/>
          <w:bCs w:val="0"/>
          <w:i w:val="0"/>
          <w:iCs w:val="0"/>
        </w:rPr>
      </w:r>
      <w:r w:rsidRPr="00AF75DE">
        <w:rPr>
          <w:b w:val="0"/>
          <w:bCs w:val="0"/>
          <w:i w:val="0"/>
          <w:iCs w:val="0"/>
        </w:rPr>
        <w:fldChar w:fldCharType="separate"/>
      </w:r>
      <w:r w:rsidR="00631423" w:rsidRPr="00631423">
        <w:rPr>
          <w:b w:val="0"/>
          <w:bCs w:val="0"/>
          <w:i w:val="0"/>
          <w:iCs w:val="0"/>
        </w:rPr>
        <w:t xml:space="preserve">Figure </w:t>
      </w:r>
      <w:r w:rsidR="00631423" w:rsidRPr="00631423">
        <w:rPr>
          <w:b w:val="0"/>
          <w:bCs w:val="0"/>
          <w:i w:val="0"/>
          <w:iCs w:val="0"/>
          <w:noProof/>
        </w:rPr>
        <w:t>5</w:t>
      </w:r>
      <w:r w:rsidR="00631423" w:rsidRPr="00631423">
        <w:rPr>
          <w:b w:val="0"/>
          <w:bCs w:val="0"/>
          <w:i w:val="0"/>
          <w:iCs w:val="0"/>
          <w:noProof/>
        </w:rPr>
        <w:noBreakHyphen/>
        <w:t>5</w:t>
      </w:r>
      <w:r w:rsidRPr="00AF75DE">
        <w:rPr>
          <w:b w:val="0"/>
          <w:bCs w:val="0"/>
          <w:i w:val="0"/>
          <w:iCs w:val="0"/>
        </w:rPr>
        <w:fldChar w:fldCharType="end"/>
      </w:r>
      <w:r w:rsidRPr="002F42D4">
        <w:rPr>
          <w:b w:val="0"/>
          <w:bCs w:val="0"/>
          <w:i w:val="0"/>
          <w:iCs w:val="0"/>
        </w:rPr>
        <w:t xml:space="preserve">. </w:t>
      </w:r>
      <w:r>
        <w:rPr>
          <w:b w:val="0"/>
          <w:bCs w:val="0"/>
          <w:i w:val="0"/>
          <w:iCs w:val="0"/>
        </w:rPr>
        <w:t>We set the target false-alarm rate as 0.02, 0.05 and 0.1</w:t>
      </w:r>
      <w:r w:rsidRPr="002F42D4">
        <w:rPr>
          <w:b w:val="0"/>
          <w:bCs w:val="0"/>
          <w:i w:val="0"/>
          <w:iCs w:val="0"/>
        </w:rPr>
        <w:t xml:space="preserve">. </w:t>
      </w:r>
      <w:r>
        <w:rPr>
          <w:b w:val="0"/>
          <w:bCs w:val="0"/>
          <w:i w:val="0"/>
          <w:iCs w:val="0"/>
        </w:rPr>
        <w:t>We can see followings:</w:t>
      </w:r>
    </w:p>
    <w:p w14:paraId="0A9FCB9C" w14:textId="77777777" w:rsidR="00C028BE" w:rsidRDefault="00C028BE" w:rsidP="004A2378">
      <w:pPr>
        <w:pStyle w:val="Proposal"/>
        <w:numPr>
          <w:ilvl w:val="0"/>
          <w:numId w:val="11"/>
        </w:numPr>
        <w:rPr>
          <w:b w:val="0"/>
          <w:bCs w:val="0"/>
          <w:i w:val="0"/>
          <w:iCs w:val="0"/>
        </w:rPr>
      </w:pPr>
      <w:r>
        <w:rPr>
          <w:b w:val="0"/>
          <w:bCs w:val="0"/>
          <w:i w:val="0"/>
          <w:iCs w:val="0"/>
        </w:rPr>
        <w:t>For all scheme, detection rate increases as the number of average samples N increases.</w:t>
      </w:r>
    </w:p>
    <w:p w14:paraId="2F52E67B" w14:textId="77777777" w:rsidR="00C028BE" w:rsidRDefault="00C028BE" w:rsidP="004A2378">
      <w:pPr>
        <w:pStyle w:val="Proposal"/>
        <w:numPr>
          <w:ilvl w:val="0"/>
          <w:numId w:val="11"/>
        </w:numPr>
        <w:rPr>
          <w:b w:val="0"/>
          <w:bCs w:val="0"/>
          <w:i w:val="0"/>
          <w:iCs w:val="0"/>
        </w:rPr>
      </w:pPr>
      <w:r>
        <w:rPr>
          <w:b w:val="0"/>
          <w:bCs w:val="0"/>
          <w:i w:val="0"/>
          <w:iCs w:val="0"/>
        </w:rPr>
        <w:t xml:space="preserve">UE side monitoring using SGCS estimator (green) and NW side monitoring using high-resolution report of 1k bits achieve almost same monitoring results as genie SGCS. </w:t>
      </w:r>
    </w:p>
    <w:p w14:paraId="1A60C91D" w14:textId="77777777" w:rsidR="00C028BE" w:rsidRDefault="00C028BE" w:rsidP="004A2378">
      <w:pPr>
        <w:pStyle w:val="Proposal"/>
        <w:numPr>
          <w:ilvl w:val="1"/>
          <w:numId w:val="11"/>
        </w:numPr>
        <w:rPr>
          <w:b w:val="0"/>
          <w:bCs w:val="0"/>
          <w:i w:val="0"/>
          <w:iCs w:val="0"/>
        </w:rPr>
      </w:pPr>
      <w:r>
        <w:rPr>
          <w:b w:val="0"/>
          <w:bCs w:val="0"/>
          <w:i w:val="0"/>
          <w:iCs w:val="0"/>
        </w:rPr>
        <w:t>It is worth noting that even genie SGCS can have false alarm as the data samples in the distribution may yield a wide range of SGCS values.</w:t>
      </w:r>
    </w:p>
    <w:p w14:paraId="0E101B81" w14:textId="77777777" w:rsidR="00C028BE" w:rsidRDefault="00C028BE" w:rsidP="004A2378">
      <w:pPr>
        <w:pStyle w:val="Proposal"/>
        <w:numPr>
          <w:ilvl w:val="0"/>
          <w:numId w:val="11"/>
        </w:numPr>
        <w:rPr>
          <w:b w:val="0"/>
          <w:bCs w:val="0"/>
          <w:i w:val="0"/>
          <w:iCs w:val="0"/>
        </w:rPr>
      </w:pPr>
      <w:r>
        <w:rPr>
          <w:b w:val="0"/>
          <w:bCs w:val="0"/>
          <w:i w:val="0"/>
          <w:iCs w:val="0"/>
        </w:rPr>
        <w:t>Using existing eT2 Pc6 as ground-truth is slightly better than all other approaches. This is because the CDF curves of using eT2 PC6 are more isolated in dataset A and dataset B then other approaches.</w:t>
      </w:r>
    </w:p>
    <w:p w14:paraId="1AFBDFA9" w14:textId="77777777" w:rsidR="00C028BE" w:rsidRDefault="00C028BE" w:rsidP="00C028BE">
      <w:pPr>
        <w:pStyle w:val="Proposal"/>
        <w:keepNext/>
        <w:numPr>
          <w:ilvl w:val="0"/>
          <w:numId w:val="0"/>
        </w:numPr>
        <w:jc w:val="center"/>
      </w:pPr>
      <w:r>
        <w:rPr>
          <w:noProof/>
        </w:rPr>
        <w:lastRenderedPageBreak/>
        <w:drawing>
          <wp:inline distT="0" distB="0" distL="0" distR="0" wp14:anchorId="350B0698" wp14:editId="28E067DE">
            <wp:extent cx="4572000" cy="2286000"/>
            <wp:effectExtent l="0" t="0" r="0" b="0"/>
            <wp:docPr id="350330411" name="Chart 1">
              <a:extLst xmlns:a="http://schemas.openxmlformats.org/drawingml/2006/main">
                <a:ext uri="{FF2B5EF4-FFF2-40B4-BE49-F238E27FC236}">
                  <a16:creationId xmlns:a16="http://schemas.microsoft.com/office/drawing/2014/main" id="{E9BB82B4-82BB-1565-3937-1086506C1E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BC007EC" w14:textId="0D965E51" w:rsidR="00C028BE" w:rsidRDefault="00C028BE" w:rsidP="00C028BE">
      <w:pPr>
        <w:pStyle w:val="Caption"/>
        <w:rPr>
          <w:b w:val="0"/>
          <w:bCs w:val="0"/>
          <w:i/>
          <w:iCs/>
        </w:rPr>
      </w:pPr>
      <w:bookmarkStart w:id="46" w:name="_Ref189825404"/>
      <w:r>
        <w:t xml:space="preserve">Figure </w:t>
      </w:r>
      <w:r w:rsidR="00D67F58">
        <w:fldChar w:fldCharType="begin"/>
      </w:r>
      <w:r w:rsidR="00D67F58">
        <w:instrText xml:space="preserve"> STYLEREF 1 \s </w:instrText>
      </w:r>
      <w:r w:rsidR="00D67F58">
        <w:fldChar w:fldCharType="separate"/>
      </w:r>
      <w:r w:rsidR="00631423">
        <w:rPr>
          <w:noProof/>
        </w:rPr>
        <w:t>5</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3</w:t>
      </w:r>
      <w:r w:rsidR="00D67F58">
        <w:fldChar w:fldCharType="end"/>
      </w:r>
      <w:bookmarkEnd w:id="46"/>
      <w:r>
        <w:t>. Detection probability with false-alarm rate 2%. Dataset A is Dense Urban as nominal scenario, Dataset B is indoor hotspot as data drift.</w:t>
      </w:r>
    </w:p>
    <w:p w14:paraId="20FCC50C" w14:textId="77777777" w:rsidR="00C028BE" w:rsidRDefault="00C028BE" w:rsidP="00C028BE">
      <w:pPr>
        <w:pStyle w:val="Proposal"/>
        <w:keepNext/>
        <w:numPr>
          <w:ilvl w:val="0"/>
          <w:numId w:val="0"/>
        </w:numPr>
        <w:jc w:val="center"/>
      </w:pPr>
      <w:r>
        <w:rPr>
          <w:noProof/>
        </w:rPr>
        <w:drawing>
          <wp:inline distT="0" distB="0" distL="0" distR="0" wp14:anchorId="00AF2A26" wp14:editId="43FD8871">
            <wp:extent cx="4572000" cy="2286000"/>
            <wp:effectExtent l="0" t="0" r="0" b="0"/>
            <wp:docPr id="847251180" name="Chart 1">
              <a:extLst xmlns:a="http://schemas.openxmlformats.org/drawingml/2006/main">
                <a:ext uri="{FF2B5EF4-FFF2-40B4-BE49-F238E27FC236}">
                  <a16:creationId xmlns:a16="http://schemas.microsoft.com/office/drawing/2014/main" id="{2B3C5302-5117-A634-7074-9CA7CFD500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C202ECF" w14:textId="14ECFA80" w:rsidR="00C028BE" w:rsidRPr="000A222A" w:rsidRDefault="00C028BE" w:rsidP="00C028BE">
      <w:pPr>
        <w:pStyle w:val="Caption"/>
        <w:rPr>
          <w:b w:val="0"/>
          <w:bCs w:val="0"/>
        </w:rPr>
      </w:pPr>
      <w:bookmarkStart w:id="47" w:name="_Ref189825413"/>
      <w:r>
        <w:t xml:space="preserve">Figure </w:t>
      </w:r>
      <w:r w:rsidR="00D67F58">
        <w:fldChar w:fldCharType="begin"/>
      </w:r>
      <w:r w:rsidR="00D67F58">
        <w:instrText xml:space="preserve"> STYLEREF 1 \s </w:instrText>
      </w:r>
      <w:r w:rsidR="00D67F58">
        <w:fldChar w:fldCharType="separate"/>
      </w:r>
      <w:r w:rsidR="00631423">
        <w:rPr>
          <w:noProof/>
        </w:rPr>
        <w:t>5</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4</w:t>
      </w:r>
      <w:r w:rsidR="00D67F58">
        <w:fldChar w:fldCharType="end"/>
      </w:r>
      <w:bookmarkEnd w:id="47"/>
      <w:r>
        <w:t>. Detection probability with false-alarm rate 5%. Dataset A is Dense Urban as nominal scenario, Dataset B is indoor hotspot as data drift.</w:t>
      </w:r>
    </w:p>
    <w:p w14:paraId="19B07FB0" w14:textId="77777777" w:rsidR="00C028BE" w:rsidRDefault="00C028BE" w:rsidP="00C028BE">
      <w:pPr>
        <w:keepNext/>
        <w:jc w:val="center"/>
      </w:pPr>
      <w:r>
        <w:rPr>
          <w:noProof/>
        </w:rPr>
        <w:drawing>
          <wp:inline distT="0" distB="0" distL="0" distR="0" wp14:anchorId="5AD5FA47" wp14:editId="70682AE5">
            <wp:extent cx="4572000" cy="2292350"/>
            <wp:effectExtent l="0" t="0" r="0" b="12700"/>
            <wp:docPr id="627301683" name="Chart 1">
              <a:extLst xmlns:a="http://schemas.openxmlformats.org/drawingml/2006/main">
                <a:ext uri="{FF2B5EF4-FFF2-40B4-BE49-F238E27FC236}">
                  <a16:creationId xmlns:a16="http://schemas.microsoft.com/office/drawing/2014/main" id="{B0322F20-AE76-7523-533E-8B41760B1D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31F372A" w14:textId="160D2E93" w:rsidR="00C028BE" w:rsidRPr="008079FC" w:rsidRDefault="00C028BE" w:rsidP="00C028BE">
      <w:pPr>
        <w:pStyle w:val="Caption"/>
      </w:pPr>
      <w:bookmarkStart w:id="48" w:name="_Ref189825420"/>
      <w:r>
        <w:t xml:space="preserve">Figure </w:t>
      </w:r>
      <w:r w:rsidR="00D67F58">
        <w:fldChar w:fldCharType="begin"/>
      </w:r>
      <w:r w:rsidR="00D67F58">
        <w:instrText xml:space="preserve"> STYLEREF 1 \s </w:instrText>
      </w:r>
      <w:r w:rsidR="00D67F58">
        <w:fldChar w:fldCharType="separate"/>
      </w:r>
      <w:r w:rsidR="00631423">
        <w:rPr>
          <w:noProof/>
        </w:rPr>
        <w:t>5</w:t>
      </w:r>
      <w:r w:rsidR="00D67F58">
        <w:fldChar w:fldCharType="end"/>
      </w:r>
      <w:r w:rsidR="00D67F58">
        <w:noBreakHyphen/>
      </w:r>
      <w:r w:rsidR="00D67F58">
        <w:fldChar w:fldCharType="begin"/>
      </w:r>
      <w:r w:rsidR="00D67F58">
        <w:instrText xml:space="preserve"> SEQ Figure \* ARABIC \s 1 </w:instrText>
      </w:r>
      <w:r w:rsidR="00D67F58">
        <w:fldChar w:fldCharType="separate"/>
      </w:r>
      <w:r w:rsidR="00631423">
        <w:rPr>
          <w:noProof/>
        </w:rPr>
        <w:t>5</w:t>
      </w:r>
      <w:r w:rsidR="00D67F58">
        <w:fldChar w:fldCharType="end"/>
      </w:r>
      <w:bookmarkEnd w:id="48"/>
      <w:r>
        <w:t>. Detection probability with false-alarm rate 10%. Dataset A is Dense Urban as nominal scenario, Dataset B is indoor hotspot as data drift.</w:t>
      </w:r>
    </w:p>
    <w:p w14:paraId="7F9410E2" w14:textId="77777777" w:rsidR="00C028BE" w:rsidRPr="00824993" w:rsidRDefault="00C028BE" w:rsidP="00C028BE">
      <w:pPr>
        <w:pStyle w:val="Observation"/>
        <w:rPr>
          <w:rStyle w:val="Strong"/>
          <w:b/>
          <w:bCs/>
        </w:rPr>
      </w:pPr>
      <w:bookmarkStart w:id="49" w:name="_Ref189860438"/>
      <w:r w:rsidRPr="00824993">
        <w:rPr>
          <w:rStyle w:val="Strong"/>
          <w:b/>
          <w:bCs/>
        </w:rPr>
        <w:lastRenderedPageBreak/>
        <w:t xml:space="preserve">Increasing number of samples used in averaging the SGCS measurement improve the monitoring </w:t>
      </w:r>
      <w:r>
        <w:rPr>
          <w:rStyle w:val="Strong"/>
          <w:b/>
          <w:bCs/>
        </w:rPr>
        <w:t xml:space="preserve">decision </w:t>
      </w:r>
      <w:r w:rsidRPr="00824993">
        <w:rPr>
          <w:rStyle w:val="Strong"/>
          <w:b/>
          <w:bCs/>
        </w:rPr>
        <w:t>accuracy.</w:t>
      </w:r>
      <w:bookmarkEnd w:id="49"/>
    </w:p>
    <w:p w14:paraId="6E58AB01" w14:textId="77777777" w:rsidR="00C028BE" w:rsidRDefault="00C028BE" w:rsidP="00C028BE">
      <w:pPr>
        <w:pStyle w:val="Observation"/>
        <w:rPr>
          <w:rStyle w:val="Strong"/>
          <w:b/>
          <w:bCs/>
        </w:rPr>
      </w:pPr>
      <w:bookmarkStart w:id="50" w:name="_Ref189860443"/>
      <w:r>
        <w:rPr>
          <w:rStyle w:val="Strong"/>
          <w:b/>
          <w:bCs/>
        </w:rPr>
        <w:t xml:space="preserve">Using existing </w:t>
      </w:r>
      <w:r>
        <w:t>parameter-combinations of eType II codebook is sufficient to achieve good monitoring results</w:t>
      </w:r>
      <w:r w:rsidRPr="00824993">
        <w:rPr>
          <w:rStyle w:val="Strong"/>
          <w:b/>
          <w:bCs/>
        </w:rPr>
        <w:t>.</w:t>
      </w:r>
      <w:bookmarkEnd w:id="50"/>
    </w:p>
    <w:p w14:paraId="5AA53DC6" w14:textId="77777777" w:rsidR="00C028BE" w:rsidRPr="00824993" w:rsidRDefault="00C028BE" w:rsidP="00C028BE">
      <w:pPr>
        <w:pStyle w:val="Observation"/>
        <w:rPr>
          <w:rStyle w:val="Strong"/>
          <w:b/>
          <w:bCs/>
        </w:rPr>
      </w:pPr>
      <w:bookmarkStart w:id="51" w:name="_Ref189860459"/>
      <w:r>
        <w:rPr>
          <w:rStyle w:val="Strong"/>
          <w:b/>
          <w:bCs/>
        </w:rPr>
        <w:t>UE side monitoring using SGCS estimator achieves similar monitoring results as those resulted by genie ground-truth and high-resolution eType II codebook.</w:t>
      </w:r>
      <w:bookmarkEnd w:id="51"/>
    </w:p>
    <w:p w14:paraId="103FAAE0" w14:textId="77777777" w:rsidR="00C028BE" w:rsidRDefault="00C028BE" w:rsidP="00C028BE">
      <w:pPr>
        <w:pStyle w:val="Proposal"/>
      </w:pPr>
      <w:bookmarkStart w:id="52" w:name="_Ref189861257"/>
      <w:r>
        <w:t>Consider existing parameter-combinations of eType II codebook for ground-truth reporting of NW side monitoring.</w:t>
      </w:r>
      <w:bookmarkEnd w:id="52"/>
    </w:p>
    <w:p w14:paraId="758B13F6" w14:textId="77777777" w:rsidR="00C028BE" w:rsidRDefault="00C028BE" w:rsidP="00C028BE">
      <w:pPr>
        <w:pStyle w:val="Proposal"/>
      </w:pPr>
      <w:bookmarkStart w:id="53" w:name="_Ref189861262"/>
      <w:r>
        <w:t>RAN1 to perform evaluation study for monitoring. accuracy requirement, the following methodology is proposed for the study:</w:t>
      </w:r>
      <w:bookmarkEnd w:id="53"/>
    </w:p>
    <w:p w14:paraId="7389B43B" w14:textId="77777777" w:rsidR="00C028BE" w:rsidRDefault="00C028BE" w:rsidP="004A2378">
      <w:pPr>
        <w:pStyle w:val="Proposal"/>
        <w:numPr>
          <w:ilvl w:val="0"/>
          <w:numId w:val="14"/>
        </w:numPr>
      </w:pPr>
      <w:r>
        <w:t>Generate a dataset A and develop an encoder-decoder pair E1D1 under this dataset A. Running inference on this dataset is considered to be the normal scenario where no underlying issue occurs.</w:t>
      </w:r>
    </w:p>
    <w:p w14:paraId="04D442FC" w14:textId="77777777" w:rsidR="00C028BE" w:rsidRDefault="00C028BE" w:rsidP="004A2378">
      <w:pPr>
        <w:pStyle w:val="Proposal"/>
        <w:numPr>
          <w:ilvl w:val="1"/>
          <w:numId w:val="14"/>
        </w:numPr>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5E1A6149" w14:textId="77777777" w:rsidR="00C028BE" w:rsidRDefault="00C028BE" w:rsidP="004A2378">
      <w:pPr>
        <w:pStyle w:val="Proposal"/>
        <w:numPr>
          <w:ilvl w:val="0"/>
          <w:numId w:val="14"/>
        </w:numPr>
      </w:pPr>
      <w:r>
        <w:t>Generate a dataset B from a different distribution than dataset A. Running inference on this dataset using E1D1 is considered to be the abnormal scenario where underlying issue (e.g., data drift) occurs.</w:t>
      </w:r>
    </w:p>
    <w:p w14:paraId="35132003" w14:textId="77777777" w:rsidR="00C028BE" w:rsidRDefault="00C028BE" w:rsidP="004A2378">
      <w:pPr>
        <w:pStyle w:val="Proposal"/>
        <w:numPr>
          <w:ilvl w:val="1"/>
          <w:numId w:val="14"/>
        </w:numPr>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39BFDB8C" w14:textId="77777777" w:rsidR="00C028BE" w:rsidRDefault="00C028BE" w:rsidP="004A2378">
      <w:pPr>
        <w:pStyle w:val="Proposal"/>
        <w:numPr>
          <w:ilvl w:val="0"/>
          <w:numId w:val="14"/>
        </w:numPr>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10565624" w14:textId="77777777" w:rsidR="00C028BE" w:rsidRDefault="00C028BE" w:rsidP="004A2378">
      <w:pPr>
        <w:pStyle w:val="Proposal"/>
        <w:numPr>
          <w:ilvl w:val="0"/>
          <w:numId w:val="14"/>
        </w:numPr>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5B33531B" w14:textId="77777777" w:rsidR="00C028BE" w:rsidRPr="00F84A20" w:rsidRDefault="00C028BE" w:rsidP="004A2378">
      <w:pPr>
        <w:pStyle w:val="ListParagraph"/>
        <w:numPr>
          <w:ilvl w:val="0"/>
          <w:numId w:val="14"/>
        </w:numPr>
        <w:rPr>
          <w:b/>
          <w:bCs/>
          <w:i/>
          <w:iCs/>
        </w:rPr>
      </w:pPr>
      <w:r w:rsidRPr="00F84A20">
        <w:rPr>
          <w:b/>
          <w:bCs/>
          <w:i/>
          <w:iCs/>
        </w:rPr>
        <w:t>Monitoring accuracy requirement can be derived based on the value N and the accuracy of the ground truth report (i.e., eType2, higher-resolution eType2) that provides satisfactory monitoring decision performance.</w:t>
      </w:r>
    </w:p>
    <w:p w14:paraId="66BA62F4" w14:textId="77777777" w:rsidR="00C028BE" w:rsidRDefault="00C028BE" w:rsidP="00C028BE"/>
    <w:p w14:paraId="6AA5BD67" w14:textId="414AE4A7" w:rsidR="003F2335" w:rsidRDefault="00DE2D3E" w:rsidP="00D70B54">
      <w:pPr>
        <w:pStyle w:val="Heading1"/>
      </w:pPr>
      <w:r>
        <w:lastRenderedPageBreak/>
        <w:t xml:space="preserve">Inference </w:t>
      </w:r>
      <w:r w:rsidR="000018C1">
        <w:t>aspects</w:t>
      </w:r>
    </w:p>
    <w:p w14:paraId="47C75B5F" w14:textId="265358C7" w:rsidR="00303B4C" w:rsidRDefault="00303B4C" w:rsidP="00303B4C">
      <w:pPr>
        <w:pStyle w:val="Heading2"/>
      </w:pPr>
      <w:r>
        <w:t>Quantization alignment</w:t>
      </w:r>
    </w:p>
    <w:p w14:paraId="70BB39F9" w14:textId="77777777" w:rsidR="000901C2" w:rsidRDefault="000901C2" w:rsidP="000901C2">
      <w:r>
        <w:t xml:space="preserve">Aligning the quantization is necessary for CSI generation and reconstruction model to interpret the UCI bits. Moreover, an evident observation was presented in [3, 4] during Rel-18 study, quantization non-aware training leads to noticeable performance degradation compared with quantization aware training. Thus, it is essential to align quantization method. </w:t>
      </w:r>
    </w:p>
    <w:p w14:paraId="273D2B84" w14:textId="1302E090" w:rsidR="000901C2" w:rsidRDefault="000901C2" w:rsidP="000901C2">
      <w:r>
        <w:t>In general, there are two options of quantization alignments, i.e., standardized quantization codebook and proprietary codebook w/ codebook exchange.</w:t>
      </w:r>
      <w:r w:rsidR="00F64868">
        <w:t xml:space="preserve"> For inter-vendor </w:t>
      </w:r>
      <w:r w:rsidR="006768EA">
        <w:t xml:space="preserve">collaboration </w:t>
      </w:r>
      <w:r w:rsidR="00F64868">
        <w:t xml:space="preserve">direction </w:t>
      </w:r>
      <w:r w:rsidR="00A230D9">
        <w:t xml:space="preserve">C, since the full model will be standardized and the two-side may </w:t>
      </w:r>
      <w:r w:rsidR="006768EA">
        <w:t>develop their mode compatible to the standardized model, the quantization codebook would need to be specified. For inter-vendor</w:t>
      </w:r>
      <w:r w:rsidR="00A230D9">
        <w:t xml:space="preserve"> </w:t>
      </w:r>
      <w:r w:rsidR="006768EA">
        <w:t xml:space="preserve">collaboration direction A, </w:t>
      </w:r>
      <w:r w:rsidR="003A3A21">
        <w:t xml:space="preserve">both options are </w:t>
      </w:r>
      <w:r w:rsidR="007A31E8">
        <w:t xml:space="preserve">applicable. In other words, </w:t>
      </w:r>
      <w:r w:rsidR="00ED4A85">
        <w:t xml:space="preserve">the standardized quantization codebook C can be adopted for direction A, alternatively, the codebook can be exchanged from NW side to UE side along with the </w:t>
      </w:r>
      <w:r w:rsidR="00C03458">
        <w:t xml:space="preserve">dataset / model parameter. In this following, we present evaluation results for </w:t>
      </w:r>
      <w:r w:rsidR="00B41ADA">
        <w:t>th</w:t>
      </w:r>
      <w:r w:rsidR="00FE6C79">
        <w:t>ese</w:t>
      </w:r>
      <w:r w:rsidR="00B41ADA">
        <w:t xml:space="preserve"> two approaches considering both scalar quantization (SQ) and vector quantization (VQ).</w:t>
      </w:r>
    </w:p>
    <w:p w14:paraId="432C490E" w14:textId="6301F143" w:rsidR="00D85D72" w:rsidRPr="00E53AE0" w:rsidRDefault="00D85D72" w:rsidP="00E53AE0">
      <w:pPr>
        <w:pStyle w:val="Observation"/>
        <w:rPr>
          <w:rStyle w:val="Strong"/>
          <w:b/>
          <w:bCs/>
        </w:rPr>
      </w:pPr>
      <w:bookmarkStart w:id="54" w:name="_Ref194072129"/>
      <w:r w:rsidRPr="00E53AE0">
        <w:rPr>
          <w:rStyle w:val="Strong"/>
          <w:b/>
          <w:bCs/>
        </w:rPr>
        <w:t>Quantization codebook for direction C should be standardized</w:t>
      </w:r>
      <w:r w:rsidR="00FE6C79" w:rsidRPr="00E53AE0">
        <w:rPr>
          <w:rStyle w:val="Strong"/>
          <w:b/>
          <w:bCs/>
        </w:rPr>
        <w:t>. For Direction A, same codebook can be adopted or NW side can exchange their proprietary codebook to the UE side along with the dataset / model parameter exchange.</w:t>
      </w:r>
      <w:bookmarkEnd w:id="54"/>
    </w:p>
    <w:p w14:paraId="74FC61B0" w14:textId="45F1ADF2" w:rsidR="0070386D" w:rsidRDefault="0070386D" w:rsidP="0070386D">
      <w:pPr>
        <w:pStyle w:val="Caption"/>
        <w:keepNext/>
      </w:pPr>
      <w:bookmarkStart w:id="55" w:name="_Ref193983154"/>
      <w:r>
        <w:t xml:space="preserve">Table </w:t>
      </w:r>
      <w:r>
        <w:fldChar w:fldCharType="begin"/>
      </w:r>
      <w:r>
        <w:instrText xml:space="preserve"> STYLEREF 1 \s </w:instrText>
      </w:r>
      <w:r>
        <w:fldChar w:fldCharType="separate"/>
      </w:r>
      <w:r w:rsidR="00631423">
        <w:rPr>
          <w:noProof/>
        </w:rPr>
        <w:t>6</w:t>
      </w:r>
      <w:r>
        <w:fldChar w:fldCharType="end"/>
      </w:r>
      <w:r>
        <w:noBreakHyphen/>
      </w:r>
      <w:r>
        <w:fldChar w:fldCharType="begin"/>
      </w:r>
      <w:r>
        <w:instrText xml:space="preserve"> SEQ Table \* ARABIC \s 1 </w:instrText>
      </w:r>
      <w:r>
        <w:fldChar w:fldCharType="separate"/>
      </w:r>
      <w:r w:rsidR="00631423">
        <w:rPr>
          <w:noProof/>
        </w:rPr>
        <w:t>1</w:t>
      </w:r>
      <w:r>
        <w:fldChar w:fldCharType="end"/>
      </w:r>
      <w:bookmarkEnd w:id="55"/>
      <w:r>
        <w:t>. Evaluation results of various quantization alignment options</w:t>
      </w:r>
    </w:p>
    <w:tbl>
      <w:tblPr>
        <w:tblStyle w:val="TableGrid"/>
        <w:tblW w:w="0" w:type="auto"/>
        <w:jc w:val="center"/>
        <w:tblLook w:val="04A0" w:firstRow="1" w:lastRow="0" w:firstColumn="1" w:lastColumn="0" w:noHBand="0" w:noVBand="1"/>
      </w:tblPr>
      <w:tblGrid>
        <w:gridCol w:w="630"/>
        <w:gridCol w:w="2065"/>
        <w:gridCol w:w="3780"/>
        <w:gridCol w:w="1800"/>
      </w:tblGrid>
      <w:tr w:rsidR="0052043D" w14:paraId="4B82CD2B" w14:textId="77777777" w:rsidTr="00DE2791">
        <w:trPr>
          <w:jc w:val="center"/>
        </w:trPr>
        <w:tc>
          <w:tcPr>
            <w:tcW w:w="630" w:type="dxa"/>
            <w:vAlign w:val="center"/>
          </w:tcPr>
          <w:p w14:paraId="601AC575" w14:textId="77777777" w:rsidR="0052043D" w:rsidRDefault="0052043D" w:rsidP="0052043D">
            <w:pPr>
              <w:spacing w:before="120" w:after="120"/>
              <w:jc w:val="center"/>
            </w:pPr>
          </w:p>
        </w:tc>
        <w:tc>
          <w:tcPr>
            <w:tcW w:w="2065" w:type="dxa"/>
            <w:vAlign w:val="center"/>
          </w:tcPr>
          <w:p w14:paraId="7E161150" w14:textId="18C31A50" w:rsidR="0052043D" w:rsidRDefault="00D45897" w:rsidP="0052043D">
            <w:pPr>
              <w:spacing w:before="120" w:after="120"/>
              <w:jc w:val="center"/>
            </w:pPr>
            <w:r>
              <w:t>Quantization type</w:t>
            </w:r>
          </w:p>
        </w:tc>
        <w:tc>
          <w:tcPr>
            <w:tcW w:w="3780" w:type="dxa"/>
            <w:vAlign w:val="center"/>
          </w:tcPr>
          <w:p w14:paraId="2FA314E9" w14:textId="1398C1C0" w:rsidR="0052043D" w:rsidRDefault="00D45897" w:rsidP="0052043D">
            <w:pPr>
              <w:spacing w:before="120" w:after="120"/>
              <w:jc w:val="center"/>
            </w:pPr>
            <w:r>
              <w:t>Codebook type</w:t>
            </w:r>
          </w:p>
        </w:tc>
        <w:tc>
          <w:tcPr>
            <w:tcW w:w="1800" w:type="dxa"/>
            <w:vAlign w:val="center"/>
          </w:tcPr>
          <w:p w14:paraId="1E660963" w14:textId="79D749A8" w:rsidR="0052043D" w:rsidRDefault="00DE2791" w:rsidP="0052043D">
            <w:pPr>
              <w:spacing w:before="120" w:after="120"/>
              <w:jc w:val="center"/>
            </w:pPr>
            <w:r>
              <w:t>SGCS</w:t>
            </w:r>
          </w:p>
        </w:tc>
      </w:tr>
      <w:tr w:rsidR="0052043D" w14:paraId="08139E36" w14:textId="77777777" w:rsidTr="00DE2791">
        <w:trPr>
          <w:jc w:val="center"/>
        </w:trPr>
        <w:tc>
          <w:tcPr>
            <w:tcW w:w="630" w:type="dxa"/>
            <w:vAlign w:val="center"/>
          </w:tcPr>
          <w:p w14:paraId="7405B8EB" w14:textId="4FD10A59" w:rsidR="0052043D" w:rsidRDefault="004C3826" w:rsidP="0052043D">
            <w:pPr>
              <w:spacing w:before="120" w:after="120"/>
              <w:jc w:val="center"/>
            </w:pPr>
            <w:r>
              <w:t>0</w:t>
            </w:r>
          </w:p>
        </w:tc>
        <w:tc>
          <w:tcPr>
            <w:tcW w:w="2065" w:type="dxa"/>
            <w:vAlign w:val="center"/>
          </w:tcPr>
          <w:p w14:paraId="1A940875" w14:textId="4D34F674" w:rsidR="0052043D" w:rsidRDefault="00D45897" w:rsidP="0052043D">
            <w:pPr>
              <w:spacing w:before="120" w:after="120"/>
              <w:jc w:val="center"/>
            </w:pPr>
            <w:r>
              <w:t>SQ</w:t>
            </w:r>
          </w:p>
        </w:tc>
        <w:tc>
          <w:tcPr>
            <w:tcW w:w="3780" w:type="dxa"/>
            <w:vAlign w:val="center"/>
          </w:tcPr>
          <w:p w14:paraId="3C15385C" w14:textId="783ACB15" w:rsidR="0052043D" w:rsidRDefault="00D45897" w:rsidP="0052043D">
            <w:pPr>
              <w:spacing w:before="120" w:after="120"/>
              <w:jc w:val="center"/>
            </w:pPr>
            <w:r>
              <w:t>Pre-determined</w:t>
            </w:r>
          </w:p>
        </w:tc>
        <w:tc>
          <w:tcPr>
            <w:tcW w:w="1800" w:type="dxa"/>
            <w:vAlign w:val="center"/>
          </w:tcPr>
          <w:p w14:paraId="152002AF" w14:textId="729EC547" w:rsidR="0052043D" w:rsidRDefault="00F665B3" w:rsidP="00DE2791">
            <w:pPr>
              <w:spacing w:before="120" w:after="120"/>
              <w:jc w:val="center"/>
            </w:pPr>
            <w:r>
              <w:t>0.7964</w:t>
            </w:r>
          </w:p>
        </w:tc>
      </w:tr>
      <w:tr w:rsidR="0052043D" w14:paraId="2D34BAF9" w14:textId="77777777" w:rsidTr="00DE2791">
        <w:trPr>
          <w:jc w:val="center"/>
        </w:trPr>
        <w:tc>
          <w:tcPr>
            <w:tcW w:w="630" w:type="dxa"/>
            <w:vAlign w:val="center"/>
          </w:tcPr>
          <w:p w14:paraId="73A93EA7" w14:textId="2186CBF4" w:rsidR="0052043D" w:rsidRDefault="004C3826" w:rsidP="0052043D">
            <w:pPr>
              <w:spacing w:before="120" w:after="120"/>
              <w:jc w:val="center"/>
            </w:pPr>
            <w:r>
              <w:t>1</w:t>
            </w:r>
          </w:p>
        </w:tc>
        <w:tc>
          <w:tcPr>
            <w:tcW w:w="2065" w:type="dxa"/>
            <w:vAlign w:val="center"/>
          </w:tcPr>
          <w:p w14:paraId="3ED57FFC" w14:textId="5D8E171B" w:rsidR="0052043D" w:rsidRDefault="00D45897" w:rsidP="0052043D">
            <w:pPr>
              <w:spacing w:before="120" w:after="120"/>
              <w:jc w:val="center"/>
            </w:pPr>
            <w:r>
              <w:t>SQ</w:t>
            </w:r>
          </w:p>
        </w:tc>
        <w:tc>
          <w:tcPr>
            <w:tcW w:w="3780" w:type="dxa"/>
            <w:vAlign w:val="center"/>
          </w:tcPr>
          <w:p w14:paraId="1F9BAF01" w14:textId="21F91EE0" w:rsidR="0052043D" w:rsidRDefault="00DE2791" w:rsidP="0052043D">
            <w:pPr>
              <w:spacing w:before="120" w:after="120"/>
              <w:jc w:val="center"/>
            </w:pPr>
            <w:r>
              <w:t>Learned with encoder-decoder jointly</w:t>
            </w:r>
          </w:p>
        </w:tc>
        <w:tc>
          <w:tcPr>
            <w:tcW w:w="1800" w:type="dxa"/>
            <w:vAlign w:val="center"/>
          </w:tcPr>
          <w:p w14:paraId="329585A4" w14:textId="42DE4D8F" w:rsidR="0052043D" w:rsidRDefault="00F665B3" w:rsidP="00DE2791">
            <w:pPr>
              <w:spacing w:before="120" w:after="120"/>
              <w:jc w:val="center"/>
            </w:pPr>
            <w:r>
              <w:t>0.7935</w:t>
            </w:r>
          </w:p>
        </w:tc>
      </w:tr>
      <w:tr w:rsidR="00DE2791" w14:paraId="0860CC5F" w14:textId="77777777" w:rsidTr="00DE2791">
        <w:trPr>
          <w:jc w:val="center"/>
        </w:trPr>
        <w:tc>
          <w:tcPr>
            <w:tcW w:w="630" w:type="dxa"/>
            <w:vAlign w:val="center"/>
          </w:tcPr>
          <w:p w14:paraId="5AF5A67E" w14:textId="4B4B1E64" w:rsidR="00DE2791" w:rsidRDefault="00DE2791" w:rsidP="00DE2791">
            <w:pPr>
              <w:spacing w:before="120" w:after="120"/>
              <w:jc w:val="center"/>
            </w:pPr>
            <w:r>
              <w:t>2</w:t>
            </w:r>
          </w:p>
        </w:tc>
        <w:tc>
          <w:tcPr>
            <w:tcW w:w="2065" w:type="dxa"/>
            <w:vAlign w:val="center"/>
          </w:tcPr>
          <w:p w14:paraId="1D0106EB" w14:textId="77AF4804" w:rsidR="00DE2791" w:rsidRDefault="00DE2791" w:rsidP="00DE2791">
            <w:pPr>
              <w:spacing w:before="120" w:after="120"/>
              <w:jc w:val="center"/>
            </w:pPr>
            <w:r>
              <w:t>VQ</w:t>
            </w:r>
          </w:p>
        </w:tc>
        <w:tc>
          <w:tcPr>
            <w:tcW w:w="3780" w:type="dxa"/>
            <w:vAlign w:val="center"/>
          </w:tcPr>
          <w:p w14:paraId="4B73225D" w14:textId="45A7C389" w:rsidR="00DE2791" w:rsidRDefault="00DE2791" w:rsidP="00DE2791">
            <w:pPr>
              <w:spacing w:before="120" w:after="120"/>
              <w:jc w:val="center"/>
            </w:pPr>
            <w:r>
              <w:t>Pre-determined</w:t>
            </w:r>
          </w:p>
        </w:tc>
        <w:tc>
          <w:tcPr>
            <w:tcW w:w="1800" w:type="dxa"/>
            <w:vAlign w:val="center"/>
          </w:tcPr>
          <w:p w14:paraId="1AFA1E15" w14:textId="2A2EDD83" w:rsidR="00DE2791" w:rsidRDefault="00DE2791" w:rsidP="00DE2791">
            <w:pPr>
              <w:spacing w:before="120" w:after="120"/>
              <w:jc w:val="center"/>
            </w:pPr>
            <w:r>
              <w:t>0.7884</w:t>
            </w:r>
          </w:p>
        </w:tc>
      </w:tr>
      <w:tr w:rsidR="00DE2791" w14:paraId="77F3638D" w14:textId="77777777" w:rsidTr="00DE2791">
        <w:trPr>
          <w:jc w:val="center"/>
        </w:trPr>
        <w:tc>
          <w:tcPr>
            <w:tcW w:w="630" w:type="dxa"/>
            <w:vAlign w:val="center"/>
          </w:tcPr>
          <w:p w14:paraId="44AD7DFE" w14:textId="4F3F0CF6" w:rsidR="00DE2791" w:rsidRDefault="00DE2791" w:rsidP="00DE2791">
            <w:pPr>
              <w:spacing w:before="120" w:after="120"/>
              <w:jc w:val="center"/>
            </w:pPr>
            <w:r>
              <w:t>3</w:t>
            </w:r>
          </w:p>
        </w:tc>
        <w:tc>
          <w:tcPr>
            <w:tcW w:w="2065" w:type="dxa"/>
            <w:vAlign w:val="center"/>
          </w:tcPr>
          <w:p w14:paraId="4EC74D58" w14:textId="0AF34E9C" w:rsidR="00DE2791" w:rsidRDefault="00DE2791" w:rsidP="00DE2791">
            <w:pPr>
              <w:spacing w:before="120" w:after="120"/>
              <w:jc w:val="center"/>
            </w:pPr>
            <w:r>
              <w:t>VQ</w:t>
            </w:r>
          </w:p>
        </w:tc>
        <w:tc>
          <w:tcPr>
            <w:tcW w:w="3780" w:type="dxa"/>
            <w:vAlign w:val="center"/>
          </w:tcPr>
          <w:p w14:paraId="4EEEFB2A" w14:textId="50054904" w:rsidR="00DE2791" w:rsidRDefault="00DE2791" w:rsidP="00DE2791">
            <w:pPr>
              <w:spacing w:before="120" w:after="120"/>
              <w:jc w:val="center"/>
            </w:pPr>
            <w:r>
              <w:t>Learned with encoder-decoder jointly</w:t>
            </w:r>
          </w:p>
        </w:tc>
        <w:tc>
          <w:tcPr>
            <w:tcW w:w="1800" w:type="dxa"/>
            <w:vAlign w:val="center"/>
          </w:tcPr>
          <w:p w14:paraId="41265E10" w14:textId="3A334459" w:rsidR="00DE2791" w:rsidRDefault="00DE2791" w:rsidP="00D67F58">
            <w:pPr>
              <w:keepNext/>
              <w:spacing w:before="120" w:after="120"/>
              <w:jc w:val="center"/>
            </w:pPr>
            <w:r>
              <w:t>0.8282</w:t>
            </w:r>
          </w:p>
        </w:tc>
      </w:tr>
    </w:tbl>
    <w:p w14:paraId="16A9E723" w14:textId="6B6A7D11" w:rsidR="0065345E" w:rsidRDefault="0070386D" w:rsidP="000901C2">
      <w:r>
        <w:fldChar w:fldCharType="begin"/>
      </w:r>
      <w:r>
        <w:instrText xml:space="preserve"> REF _Ref193983154 \h </w:instrText>
      </w:r>
      <w:r>
        <w:fldChar w:fldCharType="separate"/>
      </w:r>
      <w:r w:rsidR="00631423">
        <w:t xml:space="preserve">Table </w:t>
      </w:r>
      <w:r w:rsidR="00631423">
        <w:rPr>
          <w:noProof/>
        </w:rPr>
        <w:t>6</w:t>
      </w:r>
      <w:r w:rsidR="00631423">
        <w:noBreakHyphen/>
      </w:r>
      <w:r w:rsidR="00631423">
        <w:rPr>
          <w:noProof/>
        </w:rPr>
        <w:t>1</w:t>
      </w:r>
      <w:r>
        <w:fldChar w:fldCharType="end"/>
      </w:r>
      <w:r>
        <w:t xml:space="preserve"> </w:t>
      </w:r>
      <w:r w:rsidR="00F665B3">
        <w:t>present</w:t>
      </w:r>
      <w:r>
        <w:t>s</w:t>
      </w:r>
      <w:r w:rsidR="00F665B3">
        <w:t xml:space="preserve"> the evaluation results. </w:t>
      </w:r>
      <w:r w:rsidR="00C05FB5">
        <w:t xml:space="preserve">It can be observed that pre-determined codebook achieves similar performance to learned codebook for SQ. </w:t>
      </w:r>
      <w:r w:rsidR="007139DF">
        <w:t>However, for VQ, there is noticeable loss of pre-determined codebook compared to learned codebook. Besides, the performance pre-determined VQ codebook is slightly worse than SQ.</w:t>
      </w:r>
      <w:r w:rsidR="00150894">
        <w:t xml:space="preserve"> Intuitively, the reason is that VQ should be designed specific</w:t>
      </w:r>
      <w:r w:rsidR="0068446A">
        <w:t>ally per</w:t>
      </w:r>
      <w:r w:rsidR="00150894">
        <w:t xml:space="preserve"> data-distribution</w:t>
      </w:r>
      <w:r w:rsidR="0068446A">
        <w:t xml:space="preserve">, it is not easy to develop a pre-determined VQ without having access to </w:t>
      </w:r>
      <w:r w:rsidR="00303EEC">
        <w:t>the dataset. For SQ, the benefit of data-driven codebook reduces as the dimension collapses.</w:t>
      </w:r>
    </w:p>
    <w:p w14:paraId="73AB0F9D" w14:textId="391F9736" w:rsidR="001F5361" w:rsidRPr="00F6096D" w:rsidRDefault="001F5361" w:rsidP="00E53AE0">
      <w:pPr>
        <w:pStyle w:val="Observation"/>
        <w:rPr>
          <w:rStyle w:val="Strong"/>
          <w:b/>
          <w:bCs/>
        </w:rPr>
      </w:pPr>
      <w:bookmarkStart w:id="56" w:name="_Ref194072135"/>
      <w:r w:rsidRPr="00F6096D">
        <w:rPr>
          <w:rStyle w:val="Strong"/>
          <w:b/>
          <w:bCs/>
        </w:rPr>
        <w:t>pre-determined codebook achieves similar performance to learned codebook for SQ.</w:t>
      </w:r>
      <w:bookmarkEnd w:id="56"/>
    </w:p>
    <w:p w14:paraId="223BB54C" w14:textId="72DBED8C" w:rsidR="001F5361" w:rsidRPr="00F6096D" w:rsidRDefault="00E53AE0" w:rsidP="00E53AE0">
      <w:pPr>
        <w:pStyle w:val="Observation"/>
        <w:rPr>
          <w:rStyle w:val="Strong"/>
          <w:b/>
          <w:bCs/>
        </w:rPr>
      </w:pPr>
      <w:bookmarkStart w:id="57" w:name="_Ref194072143"/>
      <w:r w:rsidRPr="00F6096D">
        <w:rPr>
          <w:rStyle w:val="Strong"/>
          <w:b/>
          <w:bCs/>
        </w:rPr>
        <w:t>F</w:t>
      </w:r>
      <w:r w:rsidR="001F5361" w:rsidRPr="00F6096D">
        <w:rPr>
          <w:rStyle w:val="Strong"/>
          <w:b/>
          <w:bCs/>
        </w:rPr>
        <w:t>or VQ, there is noticeable loss of pre-determined codebook compared to learned codebook as the VQ codebook should be designed specifically per data-distribution.</w:t>
      </w:r>
      <w:bookmarkEnd w:id="57"/>
    </w:p>
    <w:p w14:paraId="2F4D10C8" w14:textId="686EFDCE" w:rsidR="002E6291" w:rsidRDefault="002E6291" w:rsidP="000901C2">
      <w:r>
        <w:t xml:space="preserve">Based on the above results, it makes sense to adopt SQ for the standardized </w:t>
      </w:r>
      <w:r w:rsidR="00FB1812">
        <w:t xml:space="preserve">quantization for direction C. For direction A, since its intention is to purse a higher performance in the field, it is preferred to </w:t>
      </w:r>
      <w:r w:rsidR="0063242C">
        <w:t>adopt learned VQ codebook and consider codebook exchanging from NW to UE side.</w:t>
      </w:r>
    </w:p>
    <w:p w14:paraId="5CF9ED7A" w14:textId="4337306B" w:rsidR="00E53AE0" w:rsidRPr="000901C2" w:rsidRDefault="00E53AE0" w:rsidP="00F6096D">
      <w:pPr>
        <w:pStyle w:val="Proposal"/>
      </w:pPr>
      <w:bookmarkStart w:id="58" w:name="_Ref194072437"/>
      <w:r>
        <w:lastRenderedPageBreak/>
        <w:t>Consider standardized SQ codebook for the fully specified model in inter-vendor collaboration Direction C. Consider learned VQ codebook and exchange from NW to UE side for inter-vendor collaboration Direction A.</w:t>
      </w:r>
      <w:bookmarkEnd w:id="58"/>
    </w:p>
    <w:p w14:paraId="12DFB9D4" w14:textId="77777777" w:rsidR="00303B4C" w:rsidRDefault="00303B4C" w:rsidP="00303B4C">
      <w:pPr>
        <w:pStyle w:val="Heading2"/>
      </w:pPr>
      <w:r>
        <w:t>CQI determination</w:t>
      </w:r>
    </w:p>
    <w:p w14:paraId="2BE8C82B" w14:textId="7F4E229C" w:rsidR="00303B4C" w:rsidRDefault="00303B4C" w:rsidP="00303B4C">
      <w:r>
        <w:t>In legacy CSI report using PMI codebook, since the PMI construction algorithm is not complicated, it is feasible for UE to construct the PMI for CQI calculation. In this way, the precoder used in CQI calculation is same as the precoding vectors reported to the gNB. However, in AI/ML based CSI compression and feedback, the CSI reconstruction model and CSI generation model are normally run at gNB side and UE side separately, it may or may not be feasible for UE to follow the legacy principle. In Rel-18, following options of CQI calculation are discussed. In this section, we discuss our view on these options.</w:t>
      </w:r>
    </w:p>
    <w:tbl>
      <w:tblPr>
        <w:tblStyle w:val="TableGrid"/>
        <w:tblW w:w="0" w:type="auto"/>
        <w:tblLook w:val="04A0" w:firstRow="1" w:lastRow="0" w:firstColumn="1" w:lastColumn="0" w:noHBand="0" w:noVBand="1"/>
      </w:tblPr>
      <w:tblGrid>
        <w:gridCol w:w="9350"/>
      </w:tblGrid>
      <w:tr w:rsidR="001267DD" w14:paraId="2363AE92" w14:textId="77777777" w:rsidTr="001267DD">
        <w:tc>
          <w:tcPr>
            <w:tcW w:w="9350" w:type="dxa"/>
          </w:tcPr>
          <w:p w14:paraId="0BFC8849" w14:textId="77777777" w:rsidR="001267DD" w:rsidRPr="00133C49" w:rsidRDefault="001267DD" w:rsidP="001267DD">
            <w:pPr>
              <w:pStyle w:val="B1"/>
            </w:pPr>
            <w:r w:rsidRPr="00133C49">
              <w:t>-</w:t>
            </w:r>
            <w:r w:rsidRPr="00133C49">
              <w:tab/>
              <w:t>Option 1: CQI is NOT calculated based on the output of CSI reconstruction part from the realistic channel estimation, including</w:t>
            </w:r>
          </w:p>
          <w:p w14:paraId="72051103" w14:textId="77777777" w:rsidR="001267DD" w:rsidRPr="00133C49" w:rsidRDefault="001267DD" w:rsidP="001267DD">
            <w:pPr>
              <w:pStyle w:val="B2"/>
            </w:pPr>
            <w:r w:rsidRPr="00133C49">
              <w:t>-</w:t>
            </w:r>
            <w:r w:rsidRPr="00133C49">
              <w:tab/>
              <w:t xml:space="preserve">Option 1a: CQI is calculated based on target CSI with realistic channel measurement </w:t>
            </w:r>
          </w:p>
          <w:p w14:paraId="476A9EA5" w14:textId="77777777" w:rsidR="001267DD" w:rsidRPr="00133C49" w:rsidRDefault="001267DD" w:rsidP="001267DD">
            <w:pPr>
              <w:pStyle w:val="B2"/>
            </w:pPr>
            <w:r w:rsidRPr="00133C49">
              <w:t>-</w:t>
            </w:r>
            <w:r w:rsidRPr="00133C49">
              <w:tab/>
              <w:t xml:space="preserve">Option 1b: CQI is calculated based on target CSI with realistic channel measurement and potential adjustment </w:t>
            </w:r>
          </w:p>
          <w:p w14:paraId="6054F1D6" w14:textId="77777777" w:rsidR="001267DD" w:rsidRPr="00133C49" w:rsidRDefault="001267DD" w:rsidP="001267DD">
            <w:pPr>
              <w:pStyle w:val="B2"/>
            </w:pPr>
            <w:r w:rsidRPr="00133C49">
              <w:t>-</w:t>
            </w:r>
            <w:r w:rsidRPr="00133C49">
              <w:tab/>
              <w:t>Option 1c: CQI is calculated based on legacy codebook</w:t>
            </w:r>
          </w:p>
          <w:p w14:paraId="35CE8D0A" w14:textId="77777777" w:rsidR="001267DD" w:rsidRPr="00133C49" w:rsidRDefault="001267DD" w:rsidP="001267DD">
            <w:pPr>
              <w:pStyle w:val="B1"/>
            </w:pPr>
            <w:r w:rsidRPr="00133C49">
              <w:t>-</w:t>
            </w:r>
            <w:r w:rsidRPr="00133C49">
              <w:tab/>
              <w:t>Option 2: CQI is calculated based on the output of CSI reconstruction part from the realistic channel estimation, including</w:t>
            </w:r>
          </w:p>
          <w:p w14:paraId="50057A7E" w14:textId="77777777" w:rsidR="001267DD" w:rsidRPr="00133C49" w:rsidRDefault="001267DD" w:rsidP="001267DD">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7D392702" w14:textId="77777777" w:rsidR="001267DD" w:rsidRPr="00133C49" w:rsidRDefault="001267DD" w:rsidP="001267DD">
            <w:pPr>
              <w:pStyle w:val="B3"/>
            </w:pPr>
            <w:r w:rsidRPr="00133C49">
              <w:t>-</w:t>
            </w:r>
            <w:r w:rsidRPr="00133C49">
              <w:tab/>
              <w:t xml:space="preserve">Note: CSI reconstruction part at the UE can be different comparing to the actual CSI reconstruction part used at the NW. </w:t>
            </w:r>
          </w:p>
          <w:p w14:paraId="149A85DE" w14:textId="77777777" w:rsidR="001267DD" w:rsidRDefault="001267DD" w:rsidP="001267DD">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35F216DB" w14:textId="77777777" w:rsidR="001267DD" w:rsidRDefault="001267DD" w:rsidP="00303B4C"/>
        </w:tc>
      </w:tr>
    </w:tbl>
    <w:p w14:paraId="20135B65" w14:textId="77777777" w:rsidR="001267DD" w:rsidRDefault="001267DD" w:rsidP="00303B4C"/>
    <w:p w14:paraId="1C53DE68" w14:textId="446CE17D" w:rsidR="00303B4C" w:rsidRDefault="00303B4C" w:rsidP="00303B4C">
      <w:r>
        <w:t>Option 2a above aligns with the legacy principle and yield an accurate CQI calculation without any bias due to precoder mismatch. However, since running AI/ML for inference is much more complicated than the PMI construction of codebook-based CSI, it may not be feasible for UE to run CSI reconstruction model in addition to CSI generation model. Alternatively, additional CSI processing criteria (to count higher cost of processing unit and memory) or longer timeline maybe needed for UE to calculate CQI using CSI reconstruction output. Besides, option 2b can be supported by current specification using non-PMI based CSI report configuration. Thus, there is no need of further discussion of option 2b in this release.</w:t>
      </w:r>
    </w:p>
    <w:p w14:paraId="58880BE1" w14:textId="77777777" w:rsidR="00303B4C" w:rsidRDefault="00303B4C" w:rsidP="00303B4C">
      <w:r>
        <w:t xml:space="preserve">Option 1 is a little more attractive as the additional cost of CQI calculation is negligible. In our view, option 1a and 1c are similar in the sense that the CQI is reported assuming a biased precoder, i.e., either an optimistic CQI in option 1a or a pessimistic CQI in option 1c. In this flavour, the CQI adjustment can be performed by gNB based on outer-loop link adaptation.  </w:t>
      </w:r>
    </w:p>
    <w:p w14:paraId="763C973E" w14:textId="226C9084" w:rsidR="00303B4C" w:rsidRDefault="00303B4C" w:rsidP="00303B4C">
      <w:r>
        <w:t xml:space="preserve">In option 1b, it is UE’s implementation to adjust the CQI. Intuitively, since the adjustment value is based on the mismatch between the reconstructed CSI and input CSI (or target CSI), it can be determined according to intermediate KPI, e.g., SGCS value. </w:t>
      </w:r>
      <w:r w:rsidR="00705992">
        <w:t>Similar</w:t>
      </w:r>
      <w:r>
        <w:t xml:space="preserve"> to the SGCS estimator design, one can develop </w:t>
      </w:r>
      <w:r>
        <w:lastRenderedPageBreak/>
        <w:t>another estimator that outputs the CQI or adjustment directly by taking intermediate output of the CSI generation model as input.</w:t>
      </w:r>
    </w:p>
    <w:p w14:paraId="0D8323EE" w14:textId="77777777" w:rsidR="00303B4C" w:rsidRDefault="00303B4C" w:rsidP="00303B4C">
      <w:r>
        <w:t>Hence, based on the discussion, we propose</w:t>
      </w:r>
    </w:p>
    <w:p w14:paraId="7B06256B" w14:textId="77777777" w:rsidR="00303B4C" w:rsidRDefault="00303B4C" w:rsidP="00303B4C">
      <w:pPr>
        <w:pStyle w:val="Proposal"/>
      </w:pPr>
      <w:bookmarkStart w:id="59" w:name="_Ref189861295"/>
      <w:r>
        <w:t>Conclude that CQI calculation option 2a (where UE runs CSI reconstruction model and use its output for CQI calculation) can be employed with the consideration of potentially higher timeline and higher cost of processing unit and memory.</w:t>
      </w:r>
      <w:bookmarkEnd w:id="59"/>
    </w:p>
    <w:p w14:paraId="35D67069" w14:textId="77777777" w:rsidR="00303B4C" w:rsidRDefault="00303B4C" w:rsidP="00303B4C">
      <w:pPr>
        <w:pStyle w:val="Proposal"/>
      </w:pPr>
      <w:bookmarkStart w:id="60" w:name="_Ref189861301"/>
      <w:r>
        <w:t>Further study CQI calculation option 1b (</w:t>
      </w:r>
      <w:r w:rsidRPr="00133C49">
        <w:t>CQI is calculated based on target CSI with realistic channel measurement and potential adjustment</w:t>
      </w:r>
      <w:r>
        <w:t>) considering adjustment measurement at UE side based on intermediate KPI or intermediate output of the CSI generation model</w:t>
      </w:r>
      <w:bookmarkEnd w:id="60"/>
    </w:p>
    <w:p w14:paraId="74AEF428" w14:textId="77777777" w:rsidR="001A6A39" w:rsidRDefault="001A6A39" w:rsidP="001A6A39">
      <w:pPr>
        <w:pStyle w:val="Proposal"/>
        <w:numPr>
          <w:ilvl w:val="0"/>
          <w:numId w:val="0"/>
        </w:numPr>
        <w:ind w:left="720" w:hanging="360"/>
      </w:pPr>
    </w:p>
    <w:p w14:paraId="19B7307E" w14:textId="7FCB82E8" w:rsidR="001A6A39" w:rsidRPr="003F0E4C" w:rsidRDefault="00474B38">
      <w:pPr>
        <w:pStyle w:val="Proposal"/>
        <w:numPr>
          <w:ilvl w:val="0"/>
          <w:numId w:val="0"/>
        </w:numPr>
        <w:rPr>
          <w:b w:val="0"/>
          <w:i w:val="0"/>
        </w:rPr>
      </w:pPr>
      <w:r w:rsidRPr="003F0E4C">
        <w:rPr>
          <w:b w:val="0"/>
          <w:bCs w:val="0"/>
          <w:i w:val="0"/>
          <w:iCs w:val="0"/>
        </w:rPr>
        <w:t xml:space="preserve">In the next section, we </w:t>
      </w:r>
      <w:r w:rsidR="00B4577F" w:rsidRPr="003F0E4C">
        <w:rPr>
          <w:b w:val="0"/>
          <w:bCs w:val="0"/>
          <w:i w:val="0"/>
          <w:iCs w:val="0"/>
        </w:rPr>
        <w:t xml:space="preserve">discuss aspects related to </w:t>
      </w:r>
      <w:r w:rsidR="007F7602" w:rsidRPr="003F0E4C">
        <w:rPr>
          <w:b w:val="0"/>
          <w:bCs w:val="0"/>
          <w:i w:val="0"/>
          <w:iCs w:val="0"/>
        </w:rPr>
        <w:t>AI/ML processing capability, applicable to AI/ML-enabled CSI processing use cases</w:t>
      </w:r>
      <w:r w:rsidR="00284000" w:rsidRPr="003F0E4C">
        <w:rPr>
          <w:b w:val="0"/>
          <w:bCs w:val="0"/>
          <w:i w:val="0"/>
          <w:iCs w:val="0"/>
        </w:rPr>
        <w:t xml:space="preserve">, </w:t>
      </w:r>
      <w:r w:rsidR="0080773E" w:rsidRPr="003F0E4C">
        <w:rPr>
          <w:b w:val="0"/>
          <w:bCs w:val="0"/>
          <w:i w:val="0"/>
          <w:iCs w:val="0"/>
        </w:rPr>
        <w:t xml:space="preserve">including </w:t>
      </w:r>
      <w:r w:rsidR="004F2827" w:rsidRPr="003F0E4C">
        <w:rPr>
          <w:b w:val="0"/>
          <w:bCs w:val="0"/>
          <w:i w:val="0"/>
          <w:iCs w:val="0"/>
        </w:rPr>
        <w:t>beam prediction, CSI prediction, and CSI compression.</w:t>
      </w:r>
    </w:p>
    <w:p w14:paraId="377DD842" w14:textId="77777777" w:rsidR="00EA7244" w:rsidRPr="00EA7244" w:rsidRDefault="00EA7244" w:rsidP="004A2378">
      <w:pPr>
        <w:pStyle w:val="ListParagraph"/>
        <w:keepNext/>
        <w:keepLines/>
        <w:numPr>
          <w:ilvl w:val="0"/>
          <w:numId w:val="29"/>
        </w:numPr>
        <w:pBdr>
          <w:top w:val="single" w:sz="12" w:space="3" w:color="auto"/>
        </w:pBdr>
        <w:overflowPunct w:val="0"/>
        <w:autoSpaceDE w:val="0"/>
        <w:autoSpaceDN w:val="0"/>
        <w:adjustRightInd w:val="0"/>
        <w:spacing w:before="240"/>
        <w:contextualSpacing w:val="0"/>
        <w:textAlignment w:val="baseline"/>
        <w:outlineLvl w:val="0"/>
        <w:rPr>
          <w:vanish/>
          <w:sz w:val="32"/>
          <w:szCs w:val="20"/>
          <w:lang w:eastAsia="zh-CN"/>
        </w:rPr>
      </w:pPr>
    </w:p>
    <w:p w14:paraId="70DB119A" w14:textId="77777777" w:rsidR="00EA7244" w:rsidRPr="00EA7244" w:rsidRDefault="00EA7244" w:rsidP="004A2378">
      <w:pPr>
        <w:pStyle w:val="ListParagraph"/>
        <w:keepNext/>
        <w:keepLines/>
        <w:numPr>
          <w:ilvl w:val="0"/>
          <w:numId w:val="29"/>
        </w:numPr>
        <w:pBdr>
          <w:top w:val="single" w:sz="12" w:space="3" w:color="auto"/>
        </w:pBdr>
        <w:overflowPunct w:val="0"/>
        <w:autoSpaceDE w:val="0"/>
        <w:autoSpaceDN w:val="0"/>
        <w:adjustRightInd w:val="0"/>
        <w:spacing w:before="240"/>
        <w:contextualSpacing w:val="0"/>
        <w:textAlignment w:val="baseline"/>
        <w:outlineLvl w:val="0"/>
        <w:rPr>
          <w:vanish/>
          <w:sz w:val="32"/>
          <w:szCs w:val="20"/>
          <w:lang w:eastAsia="zh-CN"/>
        </w:rPr>
      </w:pPr>
    </w:p>
    <w:p w14:paraId="551B49EF" w14:textId="77777777" w:rsidR="00EA7244" w:rsidRPr="00EA7244" w:rsidRDefault="00EA7244" w:rsidP="004A2378">
      <w:pPr>
        <w:pStyle w:val="ListParagraph"/>
        <w:keepNext/>
        <w:keepLines/>
        <w:numPr>
          <w:ilvl w:val="0"/>
          <w:numId w:val="29"/>
        </w:numPr>
        <w:pBdr>
          <w:top w:val="single" w:sz="12" w:space="3" w:color="auto"/>
        </w:pBdr>
        <w:overflowPunct w:val="0"/>
        <w:autoSpaceDE w:val="0"/>
        <w:autoSpaceDN w:val="0"/>
        <w:adjustRightInd w:val="0"/>
        <w:spacing w:before="240"/>
        <w:contextualSpacing w:val="0"/>
        <w:textAlignment w:val="baseline"/>
        <w:outlineLvl w:val="0"/>
        <w:rPr>
          <w:vanish/>
          <w:sz w:val="32"/>
          <w:szCs w:val="20"/>
          <w:lang w:eastAsia="zh-CN"/>
        </w:rPr>
      </w:pPr>
    </w:p>
    <w:p w14:paraId="26835A5A" w14:textId="77777777" w:rsidR="00EA7244" w:rsidRPr="00EA7244" w:rsidRDefault="00EA7244" w:rsidP="004A2378">
      <w:pPr>
        <w:pStyle w:val="ListParagraph"/>
        <w:keepNext/>
        <w:keepLines/>
        <w:numPr>
          <w:ilvl w:val="0"/>
          <w:numId w:val="29"/>
        </w:numPr>
        <w:pBdr>
          <w:top w:val="single" w:sz="12" w:space="3" w:color="auto"/>
        </w:pBdr>
        <w:overflowPunct w:val="0"/>
        <w:autoSpaceDE w:val="0"/>
        <w:autoSpaceDN w:val="0"/>
        <w:adjustRightInd w:val="0"/>
        <w:spacing w:before="240"/>
        <w:contextualSpacing w:val="0"/>
        <w:textAlignment w:val="baseline"/>
        <w:outlineLvl w:val="0"/>
        <w:rPr>
          <w:vanish/>
          <w:sz w:val="32"/>
          <w:szCs w:val="20"/>
          <w:lang w:eastAsia="zh-CN"/>
        </w:rPr>
      </w:pPr>
    </w:p>
    <w:p w14:paraId="3364627E" w14:textId="77777777" w:rsidR="00EA7244" w:rsidRPr="00EA7244" w:rsidRDefault="00EA7244" w:rsidP="004A2378">
      <w:pPr>
        <w:pStyle w:val="ListParagraph"/>
        <w:keepNext/>
        <w:keepLines/>
        <w:numPr>
          <w:ilvl w:val="0"/>
          <w:numId w:val="29"/>
        </w:numPr>
        <w:pBdr>
          <w:top w:val="single" w:sz="12" w:space="3" w:color="auto"/>
        </w:pBdr>
        <w:overflowPunct w:val="0"/>
        <w:autoSpaceDE w:val="0"/>
        <w:autoSpaceDN w:val="0"/>
        <w:adjustRightInd w:val="0"/>
        <w:spacing w:before="240"/>
        <w:contextualSpacing w:val="0"/>
        <w:textAlignment w:val="baseline"/>
        <w:outlineLvl w:val="0"/>
        <w:rPr>
          <w:vanish/>
          <w:sz w:val="32"/>
          <w:szCs w:val="20"/>
          <w:lang w:eastAsia="zh-CN"/>
        </w:rPr>
      </w:pPr>
    </w:p>
    <w:p w14:paraId="3FB7D849" w14:textId="77777777" w:rsidR="00EA7244" w:rsidRPr="00EA7244" w:rsidRDefault="00EA7244" w:rsidP="004A2378">
      <w:pPr>
        <w:pStyle w:val="ListParagraph"/>
        <w:keepNext/>
        <w:keepLines/>
        <w:numPr>
          <w:ilvl w:val="0"/>
          <w:numId w:val="29"/>
        </w:numPr>
        <w:pBdr>
          <w:top w:val="single" w:sz="12" w:space="3" w:color="auto"/>
        </w:pBdr>
        <w:overflowPunct w:val="0"/>
        <w:autoSpaceDE w:val="0"/>
        <w:autoSpaceDN w:val="0"/>
        <w:adjustRightInd w:val="0"/>
        <w:spacing w:before="240"/>
        <w:contextualSpacing w:val="0"/>
        <w:textAlignment w:val="baseline"/>
        <w:outlineLvl w:val="0"/>
        <w:rPr>
          <w:vanish/>
          <w:sz w:val="32"/>
          <w:szCs w:val="20"/>
          <w:lang w:eastAsia="zh-CN"/>
        </w:rPr>
      </w:pPr>
    </w:p>
    <w:p w14:paraId="24DF8754" w14:textId="2D235670" w:rsidR="00DB48C5" w:rsidRDefault="00DB48C5" w:rsidP="004A2378">
      <w:pPr>
        <w:pStyle w:val="Heading1"/>
        <w:numPr>
          <w:ilvl w:val="0"/>
          <w:numId w:val="29"/>
        </w:numPr>
        <w:spacing w:after="180"/>
        <w:rPr>
          <w:lang w:eastAsia="zh-CN"/>
        </w:rPr>
      </w:pPr>
      <w:r>
        <w:rPr>
          <w:lang w:eastAsia="zh-CN"/>
        </w:rPr>
        <w:t>AI/ML processing capability</w:t>
      </w:r>
    </w:p>
    <w:p w14:paraId="2E5763D4" w14:textId="77777777" w:rsidR="00DB48C5" w:rsidRDefault="00DB48C5" w:rsidP="00DB48C5">
      <w:pPr>
        <w:rPr>
          <w:rFonts w:ascii="Times" w:hAnsi="Times" w:cs="Times"/>
          <w:sz w:val="20"/>
          <w:szCs w:val="20"/>
        </w:rPr>
      </w:pPr>
      <w:r w:rsidRPr="00C01871">
        <w:rPr>
          <w:rFonts w:ascii="Times" w:hAnsi="Times" w:cs="Times"/>
          <w:sz w:val="20"/>
          <w:szCs w:val="20"/>
        </w:rPr>
        <w:t xml:space="preserve">AI/ML features may be implemented using different hardware architecture than legacy non-AI features. Thus, it is essential to revisit the timeline and processing criteria. One important aspect regarding AI/ML functionality is that the AI engine may be shared among different </w:t>
      </w:r>
      <w:r>
        <w:rPr>
          <w:rFonts w:ascii="Times" w:hAnsi="Times" w:cs="Times"/>
          <w:sz w:val="20"/>
          <w:szCs w:val="20"/>
        </w:rPr>
        <w:t xml:space="preserve">specification-based </w:t>
      </w:r>
      <w:r w:rsidRPr="00C01871">
        <w:rPr>
          <w:rFonts w:ascii="Times" w:hAnsi="Times" w:cs="Times"/>
          <w:sz w:val="20"/>
          <w:szCs w:val="20"/>
        </w:rPr>
        <w:t>use cases</w:t>
      </w:r>
      <w:r>
        <w:rPr>
          <w:rFonts w:ascii="Times" w:hAnsi="Times" w:cs="Times"/>
          <w:sz w:val="20"/>
          <w:szCs w:val="20"/>
        </w:rPr>
        <w:t xml:space="preserve"> (Level y and Level z)</w:t>
      </w:r>
      <w:r w:rsidRPr="00C01871">
        <w:rPr>
          <w:rFonts w:ascii="Times" w:hAnsi="Times" w:cs="Times"/>
          <w:sz w:val="20"/>
          <w:szCs w:val="20"/>
        </w:rPr>
        <w:t xml:space="preserve">, such as BM-Case1, BM-Case2, CSI prediction and positioning, and potentially CSI compression. </w:t>
      </w:r>
      <w:r>
        <w:rPr>
          <w:rFonts w:ascii="Times" w:hAnsi="Times" w:cs="Times"/>
          <w:sz w:val="20"/>
          <w:szCs w:val="20"/>
        </w:rPr>
        <w:t xml:space="preserve">In addition, the AI engine may be shared with implementation-only UE-side use cases (Level x). </w:t>
      </w:r>
      <w:r w:rsidRPr="00C01871">
        <w:rPr>
          <w:rFonts w:ascii="Times" w:hAnsi="Times" w:cs="Times"/>
          <w:sz w:val="20"/>
          <w:szCs w:val="20"/>
        </w:rPr>
        <w:t>Considering that the model size may vary in these use cases, they may consume different memory cost and processing unit occupation. With such consideration, timeline and processing criteria needs to be enhanced.</w:t>
      </w:r>
    </w:p>
    <w:p w14:paraId="699D8C56" w14:textId="4757CC86" w:rsidR="00DB48C5" w:rsidRPr="00E23EAB" w:rsidRDefault="00DB48C5" w:rsidP="00E23EAB">
      <w:pPr>
        <w:pStyle w:val="Observation"/>
        <w:rPr>
          <w:rStyle w:val="Strong"/>
          <w:b/>
          <w:bCs/>
        </w:rPr>
      </w:pPr>
      <w:bookmarkStart w:id="61" w:name="_Hlk194045699"/>
      <w:r w:rsidRPr="00E23EAB">
        <w:rPr>
          <w:rStyle w:val="Strong"/>
          <w:b/>
          <w:bCs/>
        </w:rPr>
        <w:t>AIML inference may be performed at a dedicated AI engine (e.g., AI/ML accelerator) different from where non-AIML functionalities are executed.</w:t>
      </w:r>
    </w:p>
    <w:p w14:paraId="5C1DB4A7" w14:textId="1E423383" w:rsidR="00DB48C5" w:rsidRPr="00E23EAB" w:rsidRDefault="00DB48C5" w:rsidP="00E23EAB">
      <w:pPr>
        <w:pStyle w:val="Observation"/>
        <w:rPr>
          <w:rStyle w:val="Strong"/>
          <w:b/>
          <w:bCs/>
        </w:rPr>
      </w:pPr>
      <w:r w:rsidRPr="00E23EAB">
        <w:rPr>
          <w:rStyle w:val="Strong"/>
          <w:b/>
          <w:bCs/>
        </w:rPr>
        <w:t>Different AM/ML functions may share a common AI engine. Timeline and processing criteria may be different for different use cases.</w:t>
      </w:r>
    </w:p>
    <w:bookmarkEnd w:id="61"/>
    <w:p w14:paraId="7AA85CB5" w14:textId="77777777" w:rsidR="00DB48C5" w:rsidRPr="000C22E5" w:rsidRDefault="00DB48C5" w:rsidP="00DB48C5">
      <w:pPr>
        <w:rPr>
          <w:rFonts w:ascii="Times" w:hAnsi="Times" w:cs="Times"/>
          <w:bCs/>
          <w:sz w:val="20"/>
          <w:szCs w:val="16"/>
          <w:lang w:val="en-US"/>
        </w:rPr>
      </w:pPr>
      <w:r w:rsidRPr="000C22E5">
        <w:rPr>
          <w:rFonts w:ascii="Times" w:hAnsi="Times" w:cs="Times"/>
          <w:bCs/>
          <w:sz w:val="20"/>
          <w:szCs w:val="16"/>
        </w:rPr>
        <w:t>In the subsequent subsections, we discuss processing units, priority rules for AI/ML-enabled CSI reports, and finally timeline considerations for AI/ML enabled CSI reports.</w:t>
      </w:r>
    </w:p>
    <w:p w14:paraId="27F97721" w14:textId="77777777" w:rsidR="00DB48C5" w:rsidRDefault="00DB48C5" w:rsidP="00DB48C5">
      <w:pPr>
        <w:rPr>
          <w:lang w:eastAsia="zh-CN"/>
        </w:rPr>
      </w:pPr>
    </w:p>
    <w:p w14:paraId="3EBBC257" w14:textId="77777777" w:rsidR="00CA29D6" w:rsidRPr="00CA29D6" w:rsidRDefault="00CA29D6" w:rsidP="00CA29D6">
      <w:pPr>
        <w:pStyle w:val="ListParagraph"/>
        <w:keepNext/>
        <w:keepLines/>
        <w:numPr>
          <w:ilvl w:val="0"/>
          <w:numId w:val="1"/>
        </w:numPr>
        <w:pBdr>
          <w:top w:val="single" w:sz="12" w:space="3" w:color="auto"/>
        </w:pBdr>
        <w:overflowPunct w:val="0"/>
        <w:autoSpaceDE w:val="0"/>
        <w:autoSpaceDN w:val="0"/>
        <w:adjustRightInd w:val="0"/>
        <w:spacing w:before="240" w:after="120"/>
        <w:contextualSpacing w:val="0"/>
        <w:textAlignment w:val="baseline"/>
        <w:outlineLvl w:val="0"/>
        <w:rPr>
          <w:vanish/>
          <w:sz w:val="32"/>
          <w:szCs w:val="20"/>
        </w:rPr>
      </w:pPr>
    </w:p>
    <w:p w14:paraId="43BAB0E8" w14:textId="5D2710C8" w:rsidR="00DB48C5" w:rsidRPr="00CA29D6" w:rsidRDefault="00DB48C5" w:rsidP="00CA29D6">
      <w:pPr>
        <w:pStyle w:val="Heading2"/>
      </w:pPr>
      <w:r>
        <w:t>Processing units</w:t>
      </w:r>
    </w:p>
    <w:p w14:paraId="6C219456" w14:textId="77777777" w:rsidR="00DB48C5" w:rsidRPr="00CA73BE" w:rsidRDefault="00DB48C5" w:rsidP="00DB48C5">
      <w:r w:rsidRPr="00CA73BE">
        <w:t>Let us first consider the following two agreement on this topic from 9.1.1, and 9.1.3, respectively:</w:t>
      </w:r>
    </w:p>
    <w:p w14:paraId="5F44A233" w14:textId="77777777" w:rsidR="00DB48C5" w:rsidRPr="00CA73BE" w:rsidRDefault="00DB48C5" w:rsidP="00DB48C5">
      <w:pPr>
        <w:rPr>
          <w:b/>
          <w:bCs/>
          <w:sz w:val="24"/>
          <w:szCs w:val="24"/>
        </w:rPr>
      </w:pPr>
    </w:p>
    <w:tbl>
      <w:tblPr>
        <w:tblW w:w="945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50"/>
      </w:tblGrid>
      <w:tr w:rsidR="00AA27F4" w:rsidRPr="00CA73BE" w14:paraId="77093D75" w14:textId="77777777" w:rsidTr="00733D64">
        <w:trPr>
          <w:trHeight w:val="1042"/>
        </w:trPr>
        <w:tc>
          <w:tcPr>
            <w:tcW w:w="9450" w:type="dxa"/>
            <w:shd w:val="clear" w:color="auto" w:fill="auto"/>
          </w:tcPr>
          <w:p w14:paraId="670F5B36" w14:textId="77777777" w:rsidR="00DB48C5" w:rsidRPr="00CA73BE" w:rsidRDefault="00DB48C5" w:rsidP="000C22E5">
            <w:pPr>
              <w:keepNext/>
              <w:rPr>
                <w:rFonts w:ascii="Times" w:eastAsia="Times New Roman" w:hAnsi="Times" w:cs="Times"/>
                <w:b/>
                <w:bCs/>
                <w:szCs w:val="24"/>
                <w:lang w:val="en-US"/>
              </w:rPr>
            </w:pPr>
            <w:bookmarkStart w:id="62" w:name="_Hlk193716250"/>
            <w:r w:rsidRPr="00CA73BE">
              <w:rPr>
                <w:rFonts w:ascii="Times" w:eastAsia="DengXian" w:hAnsi="Times" w:cs="Times"/>
                <w:b/>
                <w:bCs/>
                <w:kern w:val="24"/>
                <w:szCs w:val="24"/>
                <w:highlight w:val="green"/>
                <w:lang w:val="en-US"/>
              </w:rPr>
              <w:t>Agreement (RAN1 #118-bis)</w:t>
            </w:r>
          </w:p>
          <w:p w14:paraId="532B1AE8" w14:textId="77777777" w:rsidR="00DB48C5" w:rsidRPr="00CA73BE" w:rsidRDefault="00DB48C5" w:rsidP="000C22E5">
            <w:pPr>
              <w:rPr>
                <w:rFonts w:ascii="Times" w:hAnsi="Times" w:cs="Times"/>
                <w:b/>
                <w:bCs/>
                <w:szCs w:val="24"/>
                <w:lang w:val="en-US" w:eastAsia="zh-CN"/>
              </w:rPr>
            </w:pPr>
            <w:r w:rsidRPr="00CA73BE">
              <w:rPr>
                <w:rFonts w:ascii="Times" w:eastAsia="DengXian" w:hAnsi="Times" w:cs="Times"/>
                <w:b/>
                <w:bCs/>
                <w:szCs w:val="24"/>
                <w:lang w:val="en-US" w:eastAsia="zh-CN"/>
              </w:rPr>
              <w:t>For UE-side model, e</w:t>
            </w:r>
            <w:r w:rsidRPr="00CA73BE">
              <w:rPr>
                <w:rFonts w:ascii="Times" w:hAnsi="Times" w:cs="Times"/>
                <w:b/>
                <w:bCs/>
                <w:szCs w:val="24"/>
                <w:lang w:val="en-US" w:eastAsia="zh-CN"/>
              </w:rPr>
              <w:t>xisting CPU mechanism is used as a starting point for AI/ML-based CSI processing.</w:t>
            </w:r>
          </w:p>
          <w:p w14:paraId="37B40C86" w14:textId="77777777" w:rsidR="00DB48C5" w:rsidRPr="00CA73BE" w:rsidRDefault="00DB48C5" w:rsidP="004A2378">
            <w:pPr>
              <w:numPr>
                <w:ilvl w:val="0"/>
                <w:numId w:val="27"/>
              </w:numPr>
              <w:spacing w:after="0"/>
              <w:rPr>
                <w:rFonts w:ascii="Times" w:hAnsi="Times" w:cs="Times"/>
                <w:b/>
                <w:bCs/>
                <w:szCs w:val="24"/>
                <w:lang w:val="en-US" w:eastAsia="ko-KR"/>
              </w:rPr>
            </w:pPr>
            <w:r w:rsidRPr="00CA73BE">
              <w:rPr>
                <w:rFonts w:ascii="Times" w:hAnsi="Times" w:cs="Times"/>
                <w:b/>
                <w:bCs/>
                <w:szCs w:val="24"/>
                <w:lang w:val="en-US" w:eastAsia="zh-CN"/>
              </w:rPr>
              <w:t>FFS whether the overall CPU should be shared or separately counted between legacy CSI reporting and AI/ML-based CSI reporting</w:t>
            </w:r>
            <w:r w:rsidRPr="00CA73BE">
              <w:rPr>
                <w:rFonts w:ascii="Times" w:eastAsia="DengXian" w:hAnsi="Times" w:cs="Times"/>
                <w:b/>
                <w:bCs/>
                <w:szCs w:val="24"/>
                <w:lang w:val="en-US" w:eastAsia="zh-CN"/>
              </w:rPr>
              <w:t xml:space="preserve">, </w:t>
            </w:r>
            <w:r w:rsidRPr="00CA73BE">
              <w:rPr>
                <w:rFonts w:ascii="Times" w:hAnsi="Times" w:cs="Times"/>
                <w:b/>
                <w:bCs/>
                <w:szCs w:val="24"/>
                <w:lang w:val="en-US" w:eastAsia="zh-CN"/>
              </w:rPr>
              <w:t>and among AI/ML features/functionalities.</w:t>
            </w:r>
          </w:p>
          <w:p w14:paraId="11514D25" w14:textId="77777777" w:rsidR="00DB48C5" w:rsidRPr="00CA73BE" w:rsidRDefault="00DB48C5" w:rsidP="004A2378">
            <w:pPr>
              <w:numPr>
                <w:ilvl w:val="0"/>
                <w:numId w:val="27"/>
              </w:numPr>
              <w:spacing w:after="0"/>
              <w:rPr>
                <w:b/>
                <w:bCs/>
                <w:szCs w:val="24"/>
                <w:lang w:val="en-US" w:eastAsia="ko-KR"/>
              </w:rPr>
            </w:pPr>
            <w:r w:rsidRPr="00CA73BE">
              <w:rPr>
                <w:rFonts w:ascii="Times" w:eastAsia="DengXian" w:hAnsi="Times" w:cs="Times"/>
                <w:b/>
                <w:bCs/>
                <w:szCs w:val="24"/>
                <w:lang w:val="en-US" w:eastAsia="zh-CN"/>
              </w:rPr>
              <w:t>FFS whether it is fully applicable for BM-Case 1 and/or BM-Case 2</w:t>
            </w:r>
          </w:p>
        </w:tc>
      </w:tr>
      <w:bookmarkEnd w:id="62"/>
    </w:tbl>
    <w:p w14:paraId="3887BA79" w14:textId="77777777" w:rsidR="00DB48C5" w:rsidRPr="00CA73BE" w:rsidRDefault="00DB48C5" w:rsidP="00DB48C5">
      <w:pPr>
        <w:rPr>
          <w:b/>
          <w:bCs/>
          <w:sz w:val="24"/>
          <w:szCs w:val="24"/>
        </w:rPr>
      </w:pPr>
    </w:p>
    <w:tbl>
      <w:tblPr>
        <w:tblW w:w="936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60"/>
      </w:tblGrid>
      <w:tr w:rsidR="00AA27F4" w:rsidRPr="00CA73BE" w14:paraId="55551CF8" w14:textId="77777777" w:rsidTr="00733D64">
        <w:trPr>
          <w:trHeight w:val="1042"/>
        </w:trPr>
        <w:tc>
          <w:tcPr>
            <w:tcW w:w="9360" w:type="dxa"/>
            <w:shd w:val="clear" w:color="auto" w:fill="auto"/>
          </w:tcPr>
          <w:p w14:paraId="4A098F4B" w14:textId="77777777" w:rsidR="00DB48C5" w:rsidRPr="00CA73BE" w:rsidRDefault="00DB48C5" w:rsidP="000C22E5">
            <w:pPr>
              <w:rPr>
                <w:rFonts w:ascii="Times" w:eastAsia="DengXian" w:hAnsi="Times" w:cs="Times"/>
                <w:b/>
                <w:bCs/>
                <w:highlight w:val="green"/>
                <w:lang w:eastAsia="zh-CN"/>
              </w:rPr>
            </w:pPr>
            <w:r w:rsidRPr="00CA73BE">
              <w:rPr>
                <w:rFonts w:ascii="Times" w:eastAsia="DengXian" w:hAnsi="Times" w:cs="Times"/>
                <w:b/>
                <w:bCs/>
                <w:highlight w:val="green"/>
                <w:lang w:eastAsia="zh-CN"/>
              </w:rPr>
              <w:lastRenderedPageBreak/>
              <w:t>Agreement</w:t>
            </w:r>
          </w:p>
          <w:p w14:paraId="6BCB1A31" w14:textId="77777777" w:rsidR="00DB48C5" w:rsidRPr="00CA73BE" w:rsidRDefault="00DB48C5" w:rsidP="000C22E5">
            <w:pPr>
              <w:rPr>
                <w:rFonts w:ascii="Times" w:hAnsi="Times" w:cs="Times"/>
                <w:b/>
                <w:bCs/>
              </w:rPr>
            </w:pPr>
            <w:r w:rsidRPr="00CA73BE">
              <w:rPr>
                <w:rFonts w:ascii="Times" w:hAnsi="Times" w:cs="Times"/>
                <w:b/>
                <w:bCs/>
              </w:rPr>
              <w:t>For CSI prediction using UE-side model, for CSI processing criteria and timeline, at least for inference further study on</w:t>
            </w:r>
          </w:p>
          <w:p w14:paraId="69B8C3DB" w14:textId="77777777" w:rsidR="00DB48C5" w:rsidRPr="00CA73BE" w:rsidRDefault="00DB48C5" w:rsidP="004A2378">
            <w:pPr>
              <w:pStyle w:val="ListParagraph"/>
              <w:numPr>
                <w:ilvl w:val="0"/>
                <w:numId w:val="28"/>
              </w:numPr>
              <w:tabs>
                <w:tab w:val="num" w:pos="360"/>
              </w:tabs>
              <w:suppressAutoHyphens/>
              <w:spacing w:after="0"/>
              <w:contextualSpacing w:val="0"/>
              <w:rPr>
                <w:rFonts w:ascii="Times" w:hAnsi="Times" w:cs="Times"/>
                <w:b/>
                <w:bCs/>
                <w:lang w:eastAsia="ko-KR"/>
              </w:rPr>
            </w:pPr>
            <w:r w:rsidRPr="00CA73BE">
              <w:rPr>
                <w:rFonts w:ascii="Times" w:hAnsi="Times" w:cs="Times"/>
                <w:b/>
                <w:bCs/>
                <w:lang w:eastAsia="ko-KR"/>
              </w:rPr>
              <w:t>Whether the CPU should be shared or separately counted between legacy CSI reporting and AI/ML-based CSI reporting</w:t>
            </w:r>
          </w:p>
          <w:p w14:paraId="703EA4B6" w14:textId="77777777" w:rsidR="00DB48C5" w:rsidRPr="00CA73BE" w:rsidRDefault="00DB48C5" w:rsidP="004A2378">
            <w:pPr>
              <w:pStyle w:val="ListParagraph"/>
              <w:numPr>
                <w:ilvl w:val="0"/>
                <w:numId w:val="28"/>
              </w:numPr>
              <w:tabs>
                <w:tab w:val="num" w:pos="360"/>
              </w:tabs>
              <w:suppressAutoHyphens/>
              <w:spacing w:after="0"/>
              <w:contextualSpacing w:val="0"/>
              <w:rPr>
                <w:rFonts w:ascii="Times" w:hAnsi="Times" w:cs="Times"/>
                <w:b/>
                <w:bCs/>
                <w:lang w:eastAsia="ko-KR"/>
              </w:rPr>
            </w:pPr>
            <w:r w:rsidRPr="00CA73BE">
              <w:rPr>
                <w:rFonts w:ascii="Times" w:hAnsi="Times" w:cs="Times"/>
                <w:b/>
                <w:bCs/>
                <w:lang w:eastAsia="ko-KR"/>
              </w:rPr>
              <w:t xml:space="preserve">Whether the </w:t>
            </w:r>
            <w:r w:rsidRPr="00CA73BE">
              <w:rPr>
                <w:rFonts w:ascii="Times" w:eastAsia="DengXian" w:hAnsi="Times" w:cs="Times"/>
                <w:b/>
                <w:bCs/>
                <w:lang w:eastAsia="zh-CN"/>
              </w:rPr>
              <w:t>Processing Unit</w:t>
            </w:r>
            <w:r w:rsidRPr="00CA73BE">
              <w:rPr>
                <w:rFonts w:ascii="Times" w:hAnsi="Times" w:cs="Times"/>
                <w:b/>
                <w:bCs/>
                <w:lang w:eastAsia="ko-KR"/>
              </w:rPr>
              <w:t xml:space="preserve"> should be shared or separately counted </w:t>
            </w:r>
            <w:r w:rsidRPr="00CA73BE">
              <w:rPr>
                <w:rFonts w:ascii="Times" w:eastAsia="DengXian" w:hAnsi="Times" w:cs="Times"/>
                <w:b/>
                <w:bCs/>
                <w:lang w:eastAsia="zh-CN"/>
              </w:rPr>
              <w:t>among</w:t>
            </w:r>
            <w:r w:rsidRPr="00CA73BE">
              <w:rPr>
                <w:rFonts w:ascii="Times" w:hAnsi="Times" w:cs="Times"/>
                <w:b/>
                <w:bCs/>
                <w:lang w:eastAsia="ko-KR"/>
              </w:rPr>
              <w:t xml:space="preserve"> AI/ML related features/functionalities.</w:t>
            </w:r>
          </w:p>
          <w:p w14:paraId="2E41D97F" w14:textId="77777777" w:rsidR="00DB48C5" w:rsidRPr="00CA73BE" w:rsidRDefault="00DB48C5" w:rsidP="004A2378">
            <w:pPr>
              <w:pStyle w:val="ListParagraph"/>
              <w:numPr>
                <w:ilvl w:val="0"/>
                <w:numId w:val="28"/>
              </w:numPr>
              <w:tabs>
                <w:tab w:val="num" w:pos="360"/>
              </w:tabs>
              <w:suppressAutoHyphens/>
              <w:spacing w:after="0"/>
              <w:contextualSpacing w:val="0"/>
              <w:rPr>
                <w:rFonts w:ascii="Times" w:hAnsi="Times" w:cs="Times"/>
                <w:b/>
                <w:bCs/>
                <w:lang w:eastAsia="ko-KR"/>
              </w:rPr>
            </w:pPr>
            <w:r w:rsidRPr="00CA73BE">
              <w:rPr>
                <w:rFonts w:ascii="Times" w:eastAsia="SimSun" w:hAnsi="Times" w:cs="Times"/>
                <w:b/>
                <w:bCs/>
                <w:lang w:val="en-US"/>
              </w:rPr>
              <w:t>Whether new timeline is needed</w:t>
            </w:r>
            <w:r w:rsidRPr="00CA73BE">
              <w:rPr>
                <w:rFonts w:ascii="Times" w:eastAsia="SimSun" w:hAnsi="Times" w:cs="Times"/>
                <w:b/>
                <w:bCs/>
                <w:lang w:val="en-US" w:eastAsia="zh-CN"/>
              </w:rPr>
              <w:t>/updated</w:t>
            </w:r>
            <w:r w:rsidRPr="00CA73BE">
              <w:rPr>
                <w:rFonts w:ascii="Times" w:eastAsia="SimSun" w:hAnsi="Times" w:cs="Times"/>
                <w:b/>
                <w:bCs/>
                <w:lang w:val="en-US"/>
              </w:rPr>
              <w:t xml:space="preserve"> for inference, and whether </w:t>
            </w:r>
            <w:r w:rsidRPr="00CA73BE">
              <w:rPr>
                <w:rFonts w:ascii="Times" w:eastAsia="SimSun" w:hAnsi="Times" w:cs="Times"/>
                <w:b/>
                <w:bCs/>
                <w:lang w:val="en-US" w:eastAsia="zh-CN"/>
              </w:rPr>
              <w:t>a different timeline is</w:t>
            </w:r>
            <w:r w:rsidRPr="00CA73BE">
              <w:rPr>
                <w:rFonts w:ascii="Times" w:eastAsia="SimSun" w:hAnsi="Times" w:cs="Times"/>
                <w:b/>
                <w:bCs/>
                <w:lang w:val="en-US"/>
              </w:rPr>
              <w:t xml:space="preserve"> needed</w:t>
            </w:r>
            <w:r w:rsidRPr="00CA73BE">
              <w:rPr>
                <w:rFonts w:ascii="Times" w:eastAsia="SimSun" w:hAnsi="Times" w:cs="Times"/>
                <w:b/>
                <w:bCs/>
                <w:lang w:val="en-US" w:eastAsia="zh-CN"/>
              </w:rPr>
              <w:t xml:space="preserve"> </w:t>
            </w:r>
            <w:r w:rsidRPr="00CA73BE">
              <w:rPr>
                <w:rFonts w:ascii="Times" w:eastAsia="SimSun" w:hAnsi="Times" w:cs="Times"/>
                <w:b/>
                <w:bCs/>
                <w:lang w:val="en-US"/>
              </w:rPr>
              <w:t>when functionality switches/activates.</w:t>
            </w:r>
          </w:p>
          <w:p w14:paraId="2F41AEE3" w14:textId="77777777" w:rsidR="00DB48C5" w:rsidRPr="00CA73BE" w:rsidRDefault="00DB48C5" w:rsidP="004A2378">
            <w:pPr>
              <w:pStyle w:val="ListParagraph"/>
              <w:numPr>
                <w:ilvl w:val="0"/>
                <w:numId w:val="28"/>
              </w:numPr>
              <w:tabs>
                <w:tab w:val="num" w:pos="360"/>
              </w:tabs>
              <w:suppressAutoHyphens/>
              <w:spacing w:after="0"/>
              <w:contextualSpacing w:val="0"/>
              <w:rPr>
                <w:rFonts w:ascii="Times" w:hAnsi="Times" w:cs="Times"/>
                <w:b/>
                <w:bCs/>
                <w:lang w:eastAsia="ko-KR"/>
              </w:rPr>
            </w:pPr>
            <w:r w:rsidRPr="00CA73BE">
              <w:rPr>
                <w:rFonts w:ascii="Times" w:hAnsi="Times" w:cs="Times"/>
                <w:b/>
                <w:bCs/>
                <w:lang w:eastAsia="ko-KR"/>
              </w:rPr>
              <w:t>Whether legacy framework for active CSI-RS resource and port counting can be reused</w:t>
            </w:r>
          </w:p>
          <w:p w14:paraId="05DEF477" w14:textId="77777777" w:rsidR="00DB48C5" w:rsidRPr="00CA73BE" w:rsidRDefault="00DB48C5" w:rsidP="004A2378">
            <w:pPr>
              <w:numPr>
                <w:ilvl w:val="0"/>
                <w:numId w:val="27"/>
              </w:numPr>
              <w:spacing w:after="0"/>
              <w:rPr>
                <w:b/>
                <w:bCs/>
                <w:szCs w:val="24"/>
                <w:lang w:val="en-US" w:eastAsia="ko-KR"/>
              </w:rPr>
            </w:pPr>
            <w:r w:rsidRPr="00CA73BE">
              <w:rPr>
                <w:rFonts w:ascii="Times" w:hAnsi="Times" w:cs="Times"/>
                <w:b/>
                <w:bCs/>
                <w:lang w:eastAsia="ko-KR"/>
              </w:rPr>
              <w:t xml:space="preserve">Note: </w:t>
            </w:r>
            <w:r w:rsidRPr="00CA73BE">
              <w:rPr>
                <w:rFonts w:ascii="Times" w:eastAsia="SimSun" w:hAnsi="Times" w:cs="Times"/>
                <w:b/>
                <w:bCs/>
                <w:lang w:eastAsia="zh-CN"/>
              </w:rPr>
              <w:t>Strive to study CSI processing criteria considering both BM and CSI case</w:t>
            </w:r>
            <w:r w:rsidRPr="00CA73BE">
              <w:rPr>
                <w:rFonts w:ascii="Times" w:eastAsia="DengXian" w:hAnsi="Times" w:cs="Times"/>
                <w:b/>
                <w:bCs/>
                <w:lang w:eastAsia="zh-CN"/>
              </w:rPr>
              <w:t>, and take the existing solutions as starting point.</w:t>
            </w:r>
          </w:p>
        </w:tc>
      </w:tr>
    </w:tbl>
    <w:p w14:paraId="3D454896" w14:textId="77777777" w:rsidR="00DB48C5" w:rsidRPr="00CA73BE" w:rsidRDefault="00DB48C5" w:rsidP="00DB48C5">
      <w:pPr>
        <w:rPr>
          <w:b/>
          <w:bCs/>
          <w:sz w:val="24"/>
          <w:szCs w:val="24"/>
        </w:rPr>
      </w:pPr>
    </w:p>
    <w:p w14:paraId="0909F5FB" w14:textId="57303ED3" w:rsidR="00DB48C5" w:rsidRDefault="00DB48C5" w:rsidP="00DB48C5">
      <w:pPr>
        <w:rPr>
          <w:rFonts w:eastAsia="MS Gothic"/>
          <w:szCs w:val="18"/>
          <w:lang w:eastAsia="ja-JP"/>
        </w:rPr>
      </w:pPr>
      <w:r w:rsidRPr="005C00D1">
        <w:rPr>
          <w:rFonts w:eastAsia="MS Gothic"/>
          <w:szCs w:val="18"/>
          <w:lang w:eastAsia="ja-JP"/>
        </w:rPr>
        <w:t xml:space="preserve">Considering legacy CSI framework, the number of supported simultaneous CSI calculations that a UE can perform is denoted by </w:t>
      </w:r>
      <m:oMath>
        <m:sSub>
          <m:sSubPr>
            <m:ctrlPr>
              <w:rPr>
                <w:rFonts w:ascii="Cambria Math" w:eastAsia="MS Gothic" w:hAnsi="Cambria Math"/>
                <w:i/>
                <w:szCs w:val="18"/>
                <w:lang w:eastAsia="ja-JP"/>
              </w:rPr>
            </m:ctrlPr>
          </m:sSubPr>
          <m:e>
            <m:r>
              <w:rPr>
                <w:rFonts w:ascii="Cambria Math" w:eastAsia="MS Gothic" w:hAnsi="Cambria Math"/>
                <w:szCs w:val="18"/>
                <w:lang w:eastAsia="ja-JP"/>
              </w:rPr>
              <m:t>N</m:t>
            </m:r>
          </m:e>
          <m:sub>
            <m:r>
              <w:rPr>
                <w:rFonts w:ascii="Cambria Math" w:eastAsia="MS Gothic" w:hAnsi="Cambria Math"/>
                <w:szCs w:val="18"/>
                <w:lang w:eastAsia="ja-JP"/>
              </w:rPr>
              <m:t>CPU</m:t>
            </m:r>
          </m:sub>
        </m:sSub>
      </m:oMath>
      <w:r w:rsidRPr="005C00D1">
        <w:rPr>
          <w:rFonts w:eastAsia="MS Gothic"/>
          <w:szCs w:val="18"/>
          <w:lang w:eastAsia="ja-JP"/>
        </w:rPr>
        <w:t>, and is counted either per CC (</w:t>
      </w:r>
      <w:r w:rsidRPr="005C00D1">
        <w:rPr>
          <w:rFonts w:eastAsia="MS Gothic"/>
          <w:i/>
          <w:iCs/>
          <w:szCs w:val="18"/>
          <w:lang w:eastAsia="ja-JP"/>
        </w:rPr>
        <w:t>SimultaneousCSI-ReportsPerCC</w:t>
      </w:r>
      <w:r w:rsidRPr="005C00D1">
        <w:rPr>
          <w:rFonts w:eastAsia="MS Gothic"/>
          <w:szCs w:val="18"/>
          <w:lang w:eastAsia="ja-JP"/>
        </w:rPr>
        <w:t>) or for all CCs (</w:t>
      </w:r>
      <w:r w:rsidRPr="005C00D1">
        <w:rPr>
          <w:rFonts w:eastAsia="MS Gothic"/>
          <w:i/>
          <w:iCs/>
          <w:szCs w:val="18"/>
          <w:lang w:eastAsia="ja-JP"/>
        </w:rPr>
        <w:t>SimultaneousCSI-ReportsAllCC</w:t>
      </w:r>
      <w:r w:rsidRPr="005C00D1">
        <w:rPr>
          <w:rFonts w:eastAsia="MS Gothic"/>
          <w:szCs w:val="18"/>
          <w:lang w:eastAsia="ja-JP"/>
        </w:rPr>
        <w:t xml:space="preserve">). If </w:t>
      </w:r>
      <m:oMath>
        <m:r>
          <w:rPr>
            <w:rFonts w:ascii="Cambria Math" w:eastAsia="MS Gothic" w:hAnsi="Cambria Math"/>
            <w:szCs w:val="18"/>
            <w:lang w:eastAsia="ja-JP"/>
          </w:rPr>
          <m:t>L</m:t>
        </m:r>
      </m:oMath>
      <w:r w:rsidRPr="005C00D1">
        <w:rPr>
          <w:rFonts w:eastAsia="MS Gothic"/>
          <w:szCs w:val="18"/>
          <w:lang w:eastAsia="ja-JP"/>
        </w:rPr>
        <w:t xml:space="preserve"> CPUs are occupied for calculation of CSI reports in a given OFDM symbol, the UE has </w:t>
      </w:r>
      <m:oMath>
        <m:sSub>
          <m:sSubPr>
            <m:ctrlPr>
              <w:rPr>
                <w:rFonts w:ascii="Cambria Math" w:eastAsia="MS Gothic" w:hAnsi="Cambria Math"/>
                <w:i/>
                <w:szCs w:val="18"/>
                <w:lang w:eastAsia="ja-JP"/>
              </w:rPr>
            </m:ctrlPr>
          </m:sSubPr>
          <m:e>
            <m:r>
              <w:rPr>
                <w:rFonts w:ascii="Cambria Math" w:eastAsia="MS Gothic" w:hAnsi="Cambria Math"/>
                <w:szCs w:val="18"/>
                <w:lang w:eastAsia="ja-JP"/>
              </w:rPr>
              <m:t>N</m:t>
            </m:r>
          </m:e>
          <m:sub>
            <m:r>
              <w:rPr>
                <w:rFonts w:ascii="Cambria Math" w:eastAsia="MS Gothic" w:hAnsi="Cambria Math"/>
                <w:szCs w:val="18"/>
                <w:lang w:eastAsia="ja-JP"/>
              </w:rPr>
              <m:t>CPU</m:t>
            </m:r>
          </m:sub>
        </m:sSub>
        <m:r>
          <w:rPr>
            <w:rFonts w:ascii="Cambria Math" w:eastAsia="MS Gothic" w:hAnsi="Cambria Math"/>
            <w:szCs w:val="18"/>
            <w:lang w:eastAsia="ja-JP"/>
          </w:rPr>
          <m:t>-L</m:t>
        </m:r>
      </m:oMath>
      <w:r w:rsidRPr="005C00D1">
        <w:rPr>
          <w:rFonts w:eastAsia="MS Gothic"/>
          <w:szCs w:val="18"/>
          <w:lang w:eastAsia="ja-JP"/>
        </w:rPr>
        <w:t xml:space="preserve"> unoccupied CPUs. Now, let us address the </w:t>
      </w:r>
      <w:r w:rsidRPr="00CA73BE">
        <w:rPr>
          <w:rFonts w:eastAsia="MS Gothic"/>
          <w:szCs w:val="18"/>
          <w:lang w:eastAsia="ja-JP"/>
        </w:rPr>
        <w:t>open issues</w:t>
      </w:r>
      <w:r w:rsidRPr="005C00D1">
        <w:rPr>
          <w:rFonts w:eastAsia="MS Gothic"/>
          <w:szCs w:val="18"/>
          <w:lang w:eastAsia="ja-JP"/>
        </w:rPr>
        <w:t xml:space="preserve"> in the above agreement</w:t>
      </w:r>
      <w:r w:rsidRPr="00CA73BE">
        <w:rPr>
          <w:rFonts w:eastAsia="MS Gothic"/>
          <w:szCs w:val="18"/>
          <w:lang w:eastAsia="ja-JP"/>
        </w:rPr>
        <w:t>s</w:t>
      </w:r>
      <w:r w:rsidRPr="005C00D1">
        <w:rPr>
          <w:rFonts w:eastAsia="MS Gothic"/>
          <w:szCs w:val="18"/>
          <w:lang w:eastAsia="ja-JP"/>
        </w:rPr>
        <w:t>, in the following.</w:t>
      </w:r>
    </w:p>
    <w:p w14:paraId="69143590" w14:textId="77777777" w:rsidR="00723A56" w:rsidRPr="00723A56" w:rsidRDefault="00723A56" w:rsidP="00DB48C5">
      <w:pPr>
        <w:rPr>
          <w:rFonts w:eastAsia="MS Gothic"/>
          <w:szCs w:val="18"/>
          <w:lang w:eastAsia="ja-JP"/>
        </w:rPr>
      </w:pPr>
    </w:p>
    <w:p w14:paraId="5E2E6238" w14:textId="77777777" w:rsidR="00DB48C5" w:rsidRPr="007B0EAE" w:rsidRDefault="00DB48C5" w:rsidP="00DB48C5">
      <w:pPr>
        <w:rPr>
          <w:rFonts w:eastAsia="MS Gothic"/>
          <w:b/>
          <w:bCs/>
          <w:szCs w:val="18"/>
          <w:u w:val="single"/>
          <w:lang w:eastAsia="ja-JP"/>
        </w:rPr>
      </w:pPr>
      <w:bookmarkStart w:id="63" w:name="_Hlk194050923"/>
      <w:r w:rsidRPr="007B0EAE">
        <w:rPr>
          <w:rFonts w:eastAsia="MS Gothic"/>
          <w:b/>
          <w:bCs/>
          <w:szCs w:val="18"/>
          <w:u w:val="single"/>
          <w:lang w:eastAsia="ja-JP"/>
        </w:rPr>
        <w:t>Shared versus dedicated CPU pool for AI/ML-based CSI processing</w:t>
      </w:r>
    </w:p>
    <w:bookmarkEnd w:id="63"/>
    <w:p w14:paraId="675CD966" w14:textId="77777777" w:rsidR="00DB48C5" w:rsidRPr="007B0EAE" w:rsidRDefault="00DB48C5" w:rsidP="00DB48C5">
      <w:r w:rsidRPr="007B0EAE">
        <w:t xml:space="preserve">Regarding the cost of processing/calculation unit, the first question is to study whether AI/ML processing should count towards legacy CSI processing units or count towards a new dedicate processing pool, or both. In general, there may exist two types of UEs. </w:t>
      </w:r>
    </w:p>
    <w:p w14:paraId="700D18B6" w14:textId="77777777" w:rsidR="00DB48C5" w:rsidRPr="007B0EAE" w:rsidRDefault="00DB48C5" w:rsidP="00DB48C5">
      <w:r w:rsidRPr="007B0EAE">
        <w:t xml:space="preserve">One type is known as low-end UE. These UEs may not a have dedicated hardware for AI/ML processing, they may use the common hardware for both AIML and non-AI/ML operations. For this type of UEs, legacy CPU should be used for AIML operation. </w:t>
      </w:r>
    </w:p>
    <w:p w14:paraId="4179E538" w14:textId="77777777" w:rsidR="00DB48C5" w:rsidRPr="007B0EAE" w:rsidRDefault="00DB48C5" w:rsidP="00DB48C5">
      <w:r w:rsidRPr="007B0EAE">
        <w:t xml:space="preserve">Another type of UE is known as high-end UEs. These UEs may have an independent hardware for AI/ML than the legacy algorithms. In this case, a dedicated processing unit pool is needed for all AI/ML functions, including beam management use cases, CSI prediction and CSI compression, and other potential use cases in the future releases. </w:t>
      </w:r>
    </w:p>
    <w:p w14:paraId="7C5B6CC8" w14:textId="77777777" w:rsidR="00DB48C5" w:rsidRPr="007B0EAE" w:rsidRDefault="00DB48C5" w:rsidP="00DB48C5">
      <w:r w:rsidRPr="007B0EAE">
        <w:t xml:space="preserve">Furthermore, based on the study in Rel-18/19, the model size and </w:t>
      </w:r>
      <w:r w:rsidRPr="007B0EAE">
        <w:rPr>
          <w:rFonts w:hint="eastAsia"/>
          <w:lang w:eastAsia="ko-KR"/>
        </w:rPr>
        <w:t>FL</w:t>
      </w:r>
      <w:r w:rsidRPr="007B0EAE">
        <w:t>OPs may vary significantly across use cases. Thus, it is necessary to apply different CPU</w:t>
      </w:r>
      <w:r w:rsidRPr="00CA73BE">
        <w:t xml:space="preserve">/AIML processing unit </w:t>
      </w:r>
      <w:r w:rsidRPr="007B0EAE">
        <w:t xml:space="preserve">counting factor for different use cases based on the requirements of each use case. The counting factor should be reported as UE capability. </w:t>
      </w:r>
    </w:p>
    <w:p w14:paraId="210BD8C6" w14:textId="19D5F2F5" w:rsidR="00DB48C5" w:rsidRDefault="00DB48C5" w:rsidP="00DB48C5">
      <w:pPr>
        <w:rPr>
          <w:rFonts w:eastAsia="MS Gothic"/>
          <w:lang w:eastAsia="ja-JP"/>
        </w:rPr>
      </w:pPr>
      <w:r w:rsidRPr="00CA73BE">
        <w:rPr>
          <w:rFonts w:eastAsia="MS Gothic"/>
          <w:lang w:eastAsia="ja-JP"/>
        </w:rPr>
        <w:t>Furthermore, different AI/ML implementations across different UEs may have quite different model sizes and complexities for the same use case. So, UEs should be allowed to report an appropriate counting factor that reflect the UE’s AI/ML implementation.</w:t>
      </w:r>
    </w:p>
    <w:p w14:paraId="1CF51E8A" w14:textId="77777777" w:rsidR="00163122" w:rsidRDefault="00163122" w:rsidP="00DB48C5">
      <w:pPr>
        <w:rPr>
          <w:rFonts w:eastAsia="MS Gothic"/>
          <w:lang w:eastAsia="ja-JP"/>
        </w:rPr>
      </w:pPr>
    </w:p>
    <w:p w14:paraId="654C8E87" w14:textId="6259B488" w:rsidR="00631423" w:rsidRDefault="00631423" w:rsidP="00631423">
      <w:pPr>
        <w:pStyle w:val="Observation"/>
        <w:rPr>
          <w:rStyle w:val="Strong"/>
          <w:b/>
          <w:bCs/>
        </w:rPr>
      </w:pPr>
      <w:r w:rsidRPr="00AA27F4">
        <w:rPr>
          <w:lang w:val="en-US" w:eastAsia="zh-CN"/>
        </w:rPr>
        <w:t>There may be high-end UEs which have independent hardware for AIML than legacy algorithms, and also low-end UEs which may use common hardware for AIML and legacy algorithms</w:t>
      </w:r>
      <w:r w:rsidRPr="00631423">
        <w:rPr>
          <w:rStyle w:val="Strong"/>
          <w:b/>
          <w:bCs/>
        </w:rPr>
        <w:t>.</w:t>
      </w:r>
    </w:p>
    <w:p w14:paraId="5844A6A5" w14:textId="675C46FE" w:rsidR="00631423" w:rsidRPr="00631423" w:rsidRDefault="00631423" w:rsidP="00631423">
      <w:pPr>
        <w:pStyle w:val="Observation"/>
        <w:rPr>
          <w:rStyle w:val="Strong"/>
          <w:b/>
          <w:bCs/>
        </w:rPr>
      </w:pPr>
      <w:r w:rsidRPr="00DC01FE">
        <w:rPr>
          <w:lang w:val="en-US" w:eastAsia="zh-CN"/>
        </w:rPr>
        <w:lastRenderedPageBreak/>
        <w:t>CSI processing units depends on the model complexity, which may vary significantly across different use cases such as beam management, CSI prediction and CSI compression</w:t>
      </w:r>
    </w:p>
    <w:p w14:paraId="620668B2" w14:textId="128D3E9F" w:rsidR="00631423" w:rsidRDefault="00631423" w:rsidP="00DB48C5">
      <w:pPr>
        <w:rPr>
          <w:rFonts w:eastAsia="MS Gothic"/>
          <w:lang w:eastAsia="ja-JP"/>
        </w:rPr>
      </w:pPr>
    </w:p>
    <w:p w14:paraId="1E6AAAEB" w14:textId="77777777" w:rsidR="00DB48C5" w:rsidRPr="007B0EAE" w:rsidRDefault="00DB48C5" w:rsidP="00345D3A">
      <w:pPr>
        <w:pStyle w:val="Proposal"/>
      </w:pPr>
      <w:bookmarkStart w:id="64" w:name="_Hlk194045874"/>
      <w:r w:rsidRPr="007B0EAE">
        <w:t>With regards to the CPU pool for AI/ML-based CSI processing, support both of the following, as separate UE capabilities:</w:t>
      </w:r>
    </w:p>
    <w:p w14:paraId="7D2BBDA1" w14:textId="77777777" w:rsidR="00DB48C5" w:rsidRPr="007B0EAE" w:rsidRDefault="00DB48C5" w:rsidP="004A2378">
      <w:pPr>
        <w:pStyle w:val="Proposal"/>
        <w:numPr>
          <w:ilvl w:val="0"/>
          <w:numId w:val="27"/>
        </w:numPr>
      </w:pPr>
      <w:r w:rsidRPr="007B0EAE">
        <w:t xml:space="preserve">AI/ML </w:t>
      </w:r>
      <w:r w:rsidRPr="00345D3A">
        <w:t xml:space="preserve">shares the same </w:t>
      </w:r>
      <w:r w:rsidRPr="007B0EAE">
        <w:t xml:space="preserve">CPU pool </w:t>
      </w:r>
      <w:r w:rsidRPr="00345D3A">
        <w:t>as</w:t>
      </w:r>
      <w:r w:rsidRPr="007B0EAE">
        <w:t xml:space="preserve"> legacy: the CPU pool for AI/ML-based CSI processing is shared with the legacy CPU pool.</w:t>
      </w:r>
    </w:p>
    <w:p w14:paraId="1216B58A" w14:textId="46A351C1" w:rsidR="00DB48C5" w:rsidRPr="007B0EAE" w:rsidRDefault="00DB48C5" w:rsidP="004A2378">
      <w:pPr>
        <w:pStyle w:val="Proposal"/>
        <w:numPr>
          <w:ilvl w:val="0"/>
          <w:numId w:val="27"/>
        </w:numPr>
      </w:pPr>
      <w:r w:rsidRPr="007B0EAE">
        <w:t>Dedicated AI/ML PU pool separate from legacy: there’s a dedicated CPU pool for AI/ML-based CSI processing (namely AI/ML processing unit-APU), which is separate from legacy CPU pool.</w:t>
      </w:r>
    </w:p>
    <w:bookmarkEnd w:id="64"/>
    <w:p w14:paraId="6C71014B" w14:textId="77777777" w:rsidR="00DB48C5" w:rsidRDefault="00DB48C5" w:rsidP="00DB48C5">
      <w:pPr>
        <w:rPr>
          <w:rFonts w:eastAsia="MS Gothic"/>
          <w:sz w:val="20"/>
          <w:szCs w:val="16"/>
          <w:lang w:eastAsia="ja-JP"/>
        </w:rPr>
      </w:pPr>
    </w:p>
    <w:p w14:paraId="6E3525AE" w14:textId="6ABD02AA" w:rsidR="00241C2B" w:rsidRPr="003F0E4C" w:rsidRDefault="00241C2B" w:rsidP="00DB48C5">
      <w:pPr>
        <w:rPr>
          <w:rFonts w:eastAsia="MS Gothic"/>
          <w:b/>
          <w:bCs/>
          <w:szCs w:val="18"/>
          <w:u w:val="single"/>
          <w:lang w:eastAsia="ja-JP"/>
        </w:rPr>
      </w:pPr>
      <w:bookmarkStart w:id="65" w:name="_Hlk194050940"/>
      <w:r w:rsidRPr="003F0E4C">
        <w:rPr>
          <w:rFonts w:eastAsia="MS Gothic"/>
          <w:b/>
          <w:bCs/>
          <w:szCs w:val="18"/>
          <w:u w:val="single"/>
          <w:lang w:eastAsia="ja-JP"/>
        </w:rPr>
        <w:t>Whether the Processing Unit should be shared or separately counted among AI/ML related features/functionalities</w:t>
      </w:r>
    </w:p>
    <w:p w14:paraId="2449D6DC" w14:textId="04D86380" w:rsidR="00241C2B" w:rsidRDefault="00FD22EA" w:rsidP="00DB48C5">
      <w:pPr>
        <w:rPr>
          <w:rFonts w:eastAsia="MS Gothic"/>
          <w:sz w:val="20"/>
          <w:szCs w:val="16"/>
          <w:lang w:eastAsia="ja-JP"/>
        </w:rPr>
      </w:pPr>
      <w:r>
        <w:rPr>
          <w:rFonts w:eastAsia="MS Gothic"/>
          <w:sz w:val="20"/>
          <w:szCs w:val="16"/>
          <w:lang w:eastAsia="ja-JP"/>
        </w:rPr>
        <w:t>T</w:t>
      </w:r>
      <w:r w:rsidR="0052113B">
        <w:rPr>
          <w:rFonts w:eastAsia="MS Gothic"/>
          <w:sz w:val="20"/>
          <w:szCs w:val="16"/>
          <w:lang w:eastAsia="ja-JP"/>
        </w:rPr>
        <w:t>o address thi</w:t>
      </w:r>
      <w:r w:rsidR="00B13453">
        <w:rPr>
          <w:rFonts w:eastAsia="MS Gothic"/>
          <w:sz w:val="20"/>
          <w:szCs w:val="16"/>
          <w:lang w:eastAsia="ja-JP"/>
        </w:rPr>
        <w:t xml:space="preserve">s question, there are two aspects that we need to consider. </w:t>
      </w:r>
      <w:r w:rsidR="006B1749">
        <w:rPr>
          <w:rFonts w:eastAsia="MS Gothic"/>
          <w:sz w:val="20"/>
          <w:szCs w:val="16"/>
          <w:lang w:eastAsia="ja-JP"/>
        </w:rPr>
        <w:t xml:space="preserve">First, the </w:t>
      </w:r>
      <w:r w:rsidR="004B3943">
        <w:rPr>
          <w:rFonts w:eastAsia="MS Gothic"/>
          <w:sz w:val="20"/>
          <w:szCs w:val="16"/>
          <w:lang w:eastAsia="ja-JP"/>
        </w:rPr>
        <w:t>AI/ML PU</w:t>
      </w:r>
      <w:r w:rsidR="001C5436">
        <w:rPr>
          <w:rFonts w:eastAsia="MS Gothic"/>
          <w:sz w:val="20"/>
          <w:szCs w:val="16"/>
          <w:lang w:eastAsia="ja-JP"/>
        </w:rPr>
        <w:t xml:space="preserve"> </w:t>
      </w:r>
      <w:r w:rsidR="00693159">
        <w:rPr>
          <w:rFonts w:eastAsia="MS Gothic"/>
          <w:sz w:val="20"/>
          <w:szCs w:val="16"/>
          <w:lang w:eastAsia="ja-JP"/>
        </w:rPr>
        <w:t>is applicable to the use case</w:t>
      </w:r>
      <w:r w:rsidR="00D6373D">
        <w:rPr>
          <w:rFonts w:eastAsia="MS Gothic"/>
          <w:sz w:val="20"/>
          <w:szCs w:val="16"/>
          <w:lang w:eastAsia="ja-JP"/>
        </w:rPr>
        <w:t>s that need AI/ML enabled CSI processing</w:t>
      </w:r>
      <w:r w:rsidR="007424C6">
        <w:rPr>
          <w:rFonts w:eastAsia="MS Gothic"/>
          <w:sz w:val="20"/>
          <w:szCs w:val="16"/>
          <w:lang w:eastAsia="ja-JP"/>
        </w:rPr>
        <w:t xml:space="preserve"> including </w:t>
      </w:r>
      <w:r w:rsidR="00743652">
        <w:rPr>
          <w:rFonts w:eastAsia="MS Gothic"/>
          <w:sz w:val="20"/>
          <w:szCs w:val="16"/>
          <w:lang w:eastAsia="ja-JP"/>
        </w:rPr>
        <w:t xml:space="preserve">beam prediction, CSI </w:t>
      </w:r>
      <w:r w:rsidR="00AE7C6F">
        <w:rPr>
          <w:rFonts w:eastAsia="MS Gothic"/>
          <w:sz w:val="20"/>
          <w:szCs w:val="16"/>
          <w:lang w:eastAsia="ja-JP"/>
        </w:rPr>
        <w:t xml:space="preserve">prediction, and CSI compression. </w:t>
      </w:r>
      <w:r w:rsidR="00E23AC1">
        <w:rPr>
          <w:rFonts w:eastAsia="MS Gothic"/>
          <w:sz w:val="20"/>
          <w:szCs w:val="16"/>
          <w:lang w:eastAsia="ja-JP"/>
        </w:rPr>
        <w:t>Therefore</w:t>
      </w:r>
      <w:r w:rsidR="00E22C3B">
        <w:rPr>
          <w:rFonts w:eastAsia="MS Gothic"/>
          <w:sz w:val="20"/>
          <w:szCs w:val="16"/>
          <w:lang w:eastAsia="ja-JP"/>
        </w:rPr>
        <w:t xml:space="preserve">, there would be no </w:t>
      </w:r>
      <w:r w:rsidR="009568F5">
        <w:rPr>
          <w:rFonts w:eastAsia="MS Gothic"/>
          <w:sz w:val="20"/>
          <w:szCs w:val="16"/>
          <w:lang w:eastAsia="ja-JP"/>
        </w:rPr>
        <w:t xml:space="preserve">AI/ML PU counting for </w:t>
      </w:r>
      <w:r w:rsidR="0028081F">
        <w:rPr>
          <w:rFonts w:eastAsia="MS Gothic"/>
          <w:sz w:val="20"/>
          <w:szCs w:val="16"/>
          <w:lang w:eastAsia="ja-JP"/>
        </w:rPr>
        <w:t>non-CSI</w:t>
      </w:r>
      <w:r w:rsidR="00C82435">
        <w:rPr>
          <w:rFonts w:eastAsia="MS Gothic"/>
          <w:sz w:val="20"/>
          <w:szCs w:val="16"/>
          <w:lang w:eastAsia="ja-JP"/>
        </w:rPr>
        <w:t>-related AI/ML tasks.</w:t>
      </w:r>
      <w:r w:rsidR="00E23AC1">
        <w:rPr>
          <w:rFonts w:eastAsia="MS Gothic"/>
          <w:sz w:val="20"/>
          <w:szCs w:val="16"/>
          <w:lang w:eastAsia="ja-JP"/>
        </w:rPr>
        <w:t xml:space="preserve"> </w:t>
      </w:r>
      <w:r w:rsidR="006247C2">
        <w:rPr>
          <w:rFonts w:eastAsia="MS Gothic"/>
          <w:sz w:val="20"/>
          <w:szCs w:val="16"/>
          <w:lang w:eastAsia="ja-JP"/>
        </w:rPr>
        <w:t xml:space="preserve">Second, </w:t>
      </w:r>
      <w:r w:rsidR="00B66C24">
        <w:rPr>
          <w:rFonts w:eastAsia="MS Gothic"/>
          <w:sz w:val="20"/>
          <w:szCs w:val="16"/>
          <w:lang w:eastAsia="ja-JP"/>
        </w:rPr>
        <w:t xml:space="preserve">in order to provide a flexible </w:t>
      </w:r>
      <w:r w:rsidR="00E91451">
        <w:rPr>
          <w:rFonts w:eastAsia="MS Gothic"/>
          <w:sz w:val="20"/>
          <w:szCs w:val="16"/>
          <w:lang w:eastAsia="ja-JP"/>
        </w:rPr>
        <w:t xml:space="preserve">framework </w:t>
      </w:r>
      <w:r w:rsidR="00FD4828">
        <w:rPr>
          <w:rFonts w:eastAsia="MS Gothic"/>
          <w:sz w:val="20"/>
          <w:szCs w:val="16"/>
          <w:lang w:eastAsia="ja-JP"/>
        </w:rPr>
        <w:t xml:space="preserve">for </w:t>
      </w:r>
      <w:r w:rsidR="00C649AB">
        <w:rPr>
          <w:rFonts w:eastAsia="MS Gothic"/>
          <w:sz w:val="20"/>
          <w:szCs w:val="16"/>
          <w:lang w:eastAsia="ja-JP"/>
        </w:rPr>
        <w:t>different AI/ML</w:t>
      </w:r>
      <w:r w:rsidR="001E347F">
        <w:rPr>
          <w:rFonts w:eastAsia="MS Gothic"/>
          <w:sz w:val="20"/>
          <w:szCs w:val="16"/>
          <w:lang w:eastAsia="ja-JP"/>
        </w:rPr>
        <w:t xml:space="preserve">-enabled </w:t>
      </w:r>
      <w:r w:rsidR="003F4783">
        <w:rPr>
          <w:rFonts w:eastAsia="MS Gothic"/>
          <w:sz w:val="20"/>
          <w:szCs w:val="16"/>
          <w:lang w:eastAsia="ja-JP"/>
        </w:rPr>
        <w:t xml:space="preserve">CSI processing tasks, </w:t>
      </w:r>
      <w:r w:rsidR="00120BC9">
        <w:rPr>
          <w:rFonts w:eastAsia="MS Gothic"/>
          <w:sz w:val="20"/>
          <w:szCs w:val="16"/>
          <w:lang w:eastAsia="ja-JP"/>
        </w:rPr>
        <w:t xml:space="preserve">the AI/ML PU must be shared among </w:t>
      </w:r>
      <w:r w:rsidR="001B1919">
        <w:rPr>
          <w:rFonts w:eastAsia="MS Gothic"/>
          <w:sz w:val="20"/>
          <w:szCs w:val="16"/>
          <w:lang w:eastAsia="ja-JP"/>
        </w:rPr>
        <w:t>them</w:t>
      </w:r>
      <w:r w:rsidR="00696CF0">
        <w:rPr>
          <w:rFonts w:eastAsia="MS Gothic"/>
          <w:sz w:val="20"/>
          <w:szCs w:val="16"/>
          <w:lang w:eastAsia="ja-JP"/>
        </w:rPr>
        <w:t>. Hence, we propose the following:</w:t>
      </w:r>
    </w:p>
    <w:p w14:paraId="1C6D7270" w14:textId="77777777" w:rsidR="00696CF0" w:rsidRDefault="00696CF0" w:rsidP="00DB48C5">
      <w:pPr>
        <w:rPr>
          <w:rFonts w:eastAsia="MS Gothic"/>
          <w:sz w:val="20"/>
          <w:szCs w:val="16"/>
          <w:lang w:eastAsia="ja-JP"/>
        </w:rPr>
      </w:pPr>
    </w:p>
    <w:p w14:paraId="1E351404" w14:textId="77777777" w:rsidR="00CA597E" w:rsidRDefault="00696CF0" w:rsidP="00BE2C23">
      <w:pPr>
        <w:pStyle w:val="Proposal"/>
      </w:pPr>
      <w:bookmarkStart w:id="66" w:name="_Hlk194049705"/>
      <w:r w:rsidRPr="003F0E4C">
        <w:t xml:space="preserve">Proposal: </w:t>
      </w:r>
      <w:r w:rsidR="00001063" w:rsidRPr="003F0E4C">
        <w:t xml:space="preserve">To address the </w:t>
      </w:r>
      <w:r w:rsidR="005065E1" w:rsidRPr="003F0E4C">
        <w:t xml:space="preserve">FFS on </w:t>
      </w:r>
      <w:r w:rsidR="00D24CEE" w:rsidRPr="003F0E4C">
        <w:t>whether the Processing Unit should be shared or separately counted among AI/ML related features/functionalities, support the following</w:t>
      </w:r>
      <w:r w:rsidR="001F1322" w:rsidRPr="003F0E4C">
        <w:t>:</w:t>
      </w:r>
    </w:p>
    <w:p w14:paraId="00607996" w14:textId="75D597FF" w:rsidR="001F1322" w:rsidRPr="003F0E4C" w:rsidRDefault="00C52B23" w:rsidP="003F0E4C">
      <w:pPr>
        <w:pStyle w:val="Proposal"/>
        <w:numPr>
          <w:ilvl w:val="0"/>
          <w:numId w:val="33"/>
        </w:numPr>
      </w:pPr>
      <w:r w:rsidRPr="003F0E4C">
        <w:t xml:space="preserve">The AI/ML PU </w:t>
      </w:r>
      <w:r w:rsidR="000058E3" w:rsidRPr="003F0E4C">
        <w:t xml:space="preserve">must be shared </w:t>
      </w:r>
      <w:r w:rsidR="00784BD4" w:rsidRPr="003F0E4C">
        <w:t>among AI/ML-based CSI processing use cases.</w:t>
      </w:r>
    </w:p>
    <w:p w14:paraId="635A30C4" w14:textId="123CF0CA" w:rsidR="00784BD4" w:rsidRPr="00631423" w:rsidRDefault="00212670" w:rsidP="00631423">
      <w:pPr>
        <w:pStyle w:val="Proposal"/>
        <w:numPr>
          <w:ilvl w:val="1"/>
          <w:numId w:val="33"/>
        </w:numPr>
      </w:pPr>
      <w:r w:rsidRPr="003F0E4C">
        <w:t xml:space="preserve">There will be no AI/ML PU counting </w:t>
      </w:r>
      <w:r w:rsidR="00A04D3F" w:rsidRPr="003F0E4C">
        <w:t>for non-CSI-</w:t>
      </w:r>
      <w:r w:rsidR="00E00389" w:rsidRPr="003F0E4C">
        <w:t>related A</w:t>
      </w:r>
      <w:r w:rsidR="002D03BD" w:rsidRPr="003F0E4C">
        <w:t>I/ML</w:t>
      </w:r>
      <w:r w:rsidR="004D0E9C" w:rsidRPr="003F0E4C">
        <w:t xml:space="preserve"> </w:t>
      </w:r>
      <w:r w:rsidR="00EA12CA" w:rsidRPr="003F0E4C">
        <w:t>tasks</w:t>
      </w:r>
    </w:p>
    <w:bookmarkEnd w:id="66"/>
    <w:p w14:paraId="3087FA21" w14:textId="77777777" w:rsidR="00241C2B" w:rsidRDefault="00241C2B" w:rsidP="00DB48C5">
      <w:pPr>
        <w:rPr>
          <w:rFonts w:eastAsia="MS Gothic"/>
          <w:sz w:val="20"/>
          <w:szCs w:val="16"/>
          <w:lang w:eastAsia="ja-JP"/>
        </w:rPr>
      </w:pPr>
    </w:p>
    <w:p w14:paraId="59B0EAB8" w14:textId="6F632C3E" w:rsidR="00DB48C5" w:rsidRPr="00CA73BE" w:rsidRDefault="00DB48C5" w:rsidP="00DB48C5">
      <w:pPr>
        <w:rPr>
          <w:rFonts w:eastAsia="MS Gothic"/>
          <w:b/>
          <w:bCs/>
          <w:szCs w:val="18"/>
          <w:u w:val="single"/>
          <w:lang w:eastAsia="ja-JP"/>
        </w:rPr>
      </w:pPr>
      <w:bookmarkStart w:id="67" w:name="_Hlk194050959"/>
      <w:bookmarkEnd w:id="65"/>
      <w:r w:rsidRPr="000C22E5">
        <w:rPr>
          <w:rFonts w:eastAsia="MS Gothic"/>
          <w:b/>
          <w:bCs/>
          <w:szCs w:val="18"/>
          <w:u w:val="single"/>
          <w:lang w:eastAsia="ja-JP"/>
        </w:rPr>
        <w:t>How should CPU be counted for dedicated AI/ML PU pool?</w:t>
      </w:r>
    </w:p>
    <w:bookmarkEnd w:id="67"/>
    <w:p w14:paraId="17CFDE04" w14:textId="47150CA4" w:rsidR="00DB48C5" w:rsidRPr="00D15771" w:rsidRDefault="00DB48C5" w:rsidP="00DB48C5">
      <w:pPr>
        <w:rPr>
          <w:rFonts w:eastAsia="MS Gothic"/>
          <w:szCs w:val="18"/>
          <w:lang w:eastAsia="ja-JP"/>
        </w:rPr>
      </w:pPr>
      <w:r w:rsidRPr="00CA73BE">
        <w:rPr>
          <w:rFonts w:eastAsia="MS Gothic"/>
          <w:szCs w:val="18"/>
          <w:lang w:eastAsia="ja-JP"/>
        </w:rPr>
        <w:t>In light of the above proposal, and considering the description for high-end UEs mentioned above, it is important to note that the existence of a dedicated CPU pool for AI/ML does not imply that for an AI/ML-enabled CSI processing task, UE is only going to count the required #CPUs for that task towards only the AI/ML PU pool budget. The reason for this is that we may need to account for the pre- and post-processing needed to run the AI/ML-enabled CSI processing task, as well as memory costs for buffering/storing, which would consume resources towards legacy CPU pool.</w:t>
      </w:r>
    </w:p>
    <w:p w14:paraId="7A0B86AE" w14:textId="66F7EFD8" w:rsidR="00DB48C5" w:rsidRDefault="00DB48C5" w:rsidP="00D15771">
      <w:pPr>
        <w:pStyle w:val="Proposal"/>
      </w:pPr>
      <w:r w:rsidRPr="00D15771">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7E0FD9C3" w14:textId="77777777" w:rsidR="00737F49" w:rsidRPr="005C00D1" w:rsidRDefault="00737F49" w:rsidP="00737F49">
      <w:pPr>
        <w:pStyle w:val="Proposal"/>
        <w:numPr>
          <w:ilvl w:val="0"/>
          <w:numId w:val="0"/>
        </w:numPr>
      </w:pPr>
    </w:p>
    <w:p w14:paraId="155FA292" w14:textId="4D9931DB" w:rsidR="00DB48C5" w:rsidRPr="00CA73BE" w:rsidRDefault="00DB48C5" w:rsidP="00DB48C5">
      <w:pPr>
        <w:rPr>
          <w:rFonts w:eastAsia="MS Gothic"/>
          <w:b/>
          <w:bCs/>
          <w:szCs w:val="18"/>
          <w:u w:val="single"/>
          <w:lang w:eastAsia="ja-JP"/>
        </w:rPr>
      </w:pPr>
      <w:r>
        <w:rPr>
          <w:rFonts w:eastAsia="MS Gothic"/>
          <w:b/>
          <w:bCs/>
          <w:szCs w:val="18"/>
          <w:u w:val="single"/>
          <w:lang w:eastAsia="ja-JP"/>
        </w:rPr>
        <w:t>C</w:t>
      </w:r>
      <w:r w:rsidRPr="000C22E5">
        <w:rPr>
          <w:rFonts w:eastAsia="MS Gothic"/>
          <w:b/>
          <w:bCs/>
          <w:szCs w:val="18"/>
          <w:u w:val="single"/>
          <w:lang w:eastAsia="ja-JP"/>
        </w:rPr>
        <w:t>oncurrent processing of different AI/ML-enabled CSI reports</w:t>
      </w:r>
    </w:p>
    <w:p w14:paraId="10EC68C0" w14:textId="57AA4BE6" w:rsidR="00DB48C5" w:rsidRPr="00CA73BE" w:rsidRDefault="00DB48C5" w:rsidP="00DB48C5">
      <w:pPr>
        <w:rPr>
          <w:rFonts w:eastAsia="MS Gothic"/>
          <w:szCs w:val="18"/>
          <w:lang w:eastAsia="ja-JP"/>
        </w:rPr>
      </w:pPr>
      <w:r w:rsidRPr="00CA73BE">
        <w:rPr>
          <w:rFonts w:eastAsia="MS Gothic"/>
          <w:szCs w:val="18"/>
          <w:lang w:eastAsia="ja-JP"/>
        </w:rPr>
        <w:t xml:space="preserve">Note that at least for dedicated AI/ML PU pool, the AI/ML enabled CSI processing may run in a hardware that is shared by different AI/ML use cases (BM-Case1/BM-Case2, CSI prediction, [CSI compression]) (Level y and Leve z) and implementation-only (Level x) use cases. Additionally, there could be a large </w:t>
      </w:r>
      <w:r w:rsidRPr="00CA73BE">
        <w:rPr>
          <w:rFonts w:eastAsia="MS Gothic"/>
          <w:szCs w:val="18"/>
          <w:lang w:eastAsia="ja-JP"/>
        </w:rPr>
        <w:lastRenderedPageBreak/>
        <w:t>variance in terms of processing needed for running different AI/ML features (different AI/ML model requirements) and different model implementations across devices. With that said, finding a viable solution for defining concurrent processing requirements of different AI/ML-enabled tasks poses some unique and new challenges that need to be carefully addressed. The solution developed in this release may serve as a baseline for potential future AI/ML features, and therefore, it is more desirable to have a scalable solution that could possibly be leveraged in the future. We outline two potential solutions that address the concurrent processing issue mentioned above, in the following (assuming we consider three AI/ML enabled CSI processing features of beam prediction, CSI prediction, and CSI compression):</w:t>
      </w:r>
    </w:p>
    <w:p w14:paraId="587B3995" w14:textId="77777777" w:rsidR="00DB48C5" w:rsidRPr="00CA73BE" w:rsidRDefault="00DB48C5" w:rsidP="00DB48C5">
      <w:pPr>
        <w:rPr>
          <w:rFonts w:eastAsia="MS Gothic"/>
          <w:szCs w:val="18"/>
          <w:lang w:eastAsia="ja-JP"/>
        </w:rPr>
      </w:pPr>
    </w:p>
    <w:p w14:paraId="0A5CECF0" w14:textId="77777777" w:rsidR="00DB48C5" w:rsidRPr="00CA73BE" w:rsidRDefault="00DB48C5" w:rsidP="00DB48C5">
      <w:pPr>
        <w:rPr>
          <w:rFonts w:eastAsia="MS Gothic"/>
          <w:szCs w:val="18"/>
          <w:lang w:eastAsia="ja-JP"/>
        </w:rPr>
      </w:pPr>
      <w:r w:rsidRPr="00CA73BE">
        <w:rPr>
          <w:rFonts w:eastAsia="MS Gothic"/>
          <w:b/>
          <w:bCs/>
          <w:szCs w:val="18"/>
          <w:lang w:eastAsia="ja-JP"/>
        </w:rPr>
        <w:t>Solution 1</w:t>
      </w:r>
      <w:r w:rsidRPr="00CA73BE">
        <w:rPr>
          <w:rFonts w:eastAsia="MS Gothic"/>
          <w:szCs w:val="18"/>
          <w:lang w:eastAsia="ja-JP"/>
        </w:rPr>
        <w:t xml:space="preserve">: </w:t>
      </w:r>
      <w:r w:rsidRPr="00CA73BE">
        <w:rPr>
          <w:rFonts w:eastAsia="MS Gothic"/>
          <w:b/>
          <w:bCs/>
          <w:szCs w:val="18"/>
          <w:lang w:eastAsia="ja-JP"/>
        </w:rPr>
        <w:t>Use a shared AI/ML processing unit budget and per-use-case processing unit count, reported in UE capability</w:t>
      </w:r>
      <w:r w:rsidRPr="00CA73BE">
        <w:rPr>
          <w:rFonts w:eastAsia="MS Gothic"/>
          <w:szCs w:val="18"/>
          <w:lang w:eastAsia="ja-JP"/>
        </w:rPr>
        <w:t xml:space="preserve"> </w:t>
      </w:r>
    </w:p>
    <w:p w14:paraId="29FA6491" w14:textId="13E13387" w:rsidR="00DB48C5" w:rsidRPr="00CA73BE" w:rsidRDefault="00DB48C5" w:rsidP="00DB48C5">
      <w:pPr>
        <w:rPr>
          <w:rFonts w:eastAsia="MS Gothic"/>
          <w:szCs w:val="18"/>
          <w:lang w:eastAsia="ja-JP"/>
        </w:rPr>
      </w:pPr>
      <w:r w:rsidRPr="00CA73BE">
        <w:rPr>
          <w:rFonts w:eastAsia="MS Gothic"/>
          <w:szCs w:val="18"/>
          <w:lang w:eastAsia="ja-JP"/>
        </w:rPr>
        <w:t>To explain this solution, let us have an illustrative example. Let us assume that the total AI/ML processing unit (APU) budget is equal to 4 (reported by UE in the capability report). Let us further assume that the required #APUs for CSI compression, CSI prediction and BM-Case2 are 2, 2, and 1, respectively (reported by UE in the capability report, per feature). As the sum of the #APUs for all three features (i.e., 5) is NOT within the APU budget, this would mean that concurrent processing of the above three features is NOT possible. However, concurrent processing of CSI compression and CSI prediction (</w:t>
      </w:r>
      <m:oMath>
        <m:r>
          <w:rPr>
            <w:rFonts w:ascii="Cambria Math" w:eastAsia="MS Gothic" w:hAnsi="Cambria Math"/>
            <w:szCs w:val="18"/>
            <w:lang w:eastAsia="ja-JP"/>
          </w:rPr>
          <m:t>2+2 = 4</m:t>
        </m:r>
      </m:oMath>
      <w:r w:rsidRPr="00CA73BE">
        <w:rPr>
          <w:rFonts w:eastAsia="MS Gothic"/>
          <w:szCs w:val="18"/>
          <w:lang w:eastAsia="ja-JP"/>
        </w:rPr>
        <w:t>), CSI compression and BM-Case2 (</w:t>
      </w:r>
      <m:oMath>
        <m:r>
          <w:rPr>
            <w:rFonts w:ascii="Cambria Math" w:eastAsia="MS Gothic" w:hAnsi="Cambria Math"/>
            <w:szCs w:val="18"/>
            <w:lang w:eastAsia="ja-JP"/>
          </w:rPr>
          <m:t>2+1 = 3</m:t>
        </m:r>
      </m:oMath>
      <w:r w:rsidRPr="00CA73BE">
        <w:rPr>
          <w:rFonts w:eastAsia="MS Gothic"/>
          <w:szCs w:val="18"/>
          <w:lang w:eastAsia="ja-JP"/>
        </w:rPr>
        <w:t>), CSI prediction and BM-Case2 (</w:t>
      </w:r>
      <m:oMath>
        <m:r>
          <w:rPr>
            <w:rFonts w:ascii="Cambria Math" w:eastAsia="MS Gothic" w:hAnsi="Cambria Math"/>
            <w:szCs w:val="18"/>
            <w:lang w:eastAsia="ja-JP"/>
          </w:rPr>
          <m:t>2+1 = 3</m:t>
        </m:r>
      </m:oMath>
      <w:r w:rsidRPr="00CA73BE">
        <w:rPr>
          <w:rFonts w:eastAsia="MS Gothic"/>
          <w:szCs w:val="18"/>
          <w:lang w:eastAsia="ja-JP"/>
        </w:rPr>
        <w:t>) are all possible, as they are all within the APU budget.</w:t>
      </w:r>
      <w:r w:rsidR="004500A6">
        <w:rPr>
          <w:rFonts w:eastAsia="MS Gothic"/>
          <w:szCs w:val="18"/>
          <w:lang w:eastAsia="ja-JP"/>
        </w:rPr>
        <w:t xml:space="preserve"> As an additional example, </w:t>
      </w:r>
      <w:r w:rsidR="004500A6" w:rsidRPr="00CA73BE">
        <w:rPr>
          <w:rFonts w:eastAsia="MS Gothic"/>
          <w:szCs w:val="18"/>
          <w:lang w:eastAsia="ja-JP"/>
        </w:rPr>
        <w:t xml:space="preserve">concurrent processing of </w:t>
      </w:r>
      <w:r w:rsidR="004500A6">
        <w:rPr>
          <w:rFonts w:eastAsia="MS Gothic"/>
          <w:szCs w:val="18"/>
          <w:lang w:eastAsia="ja-JP"/>
        </w:rPr>
        <w:t>two CSI compression tasks (</w:t>
      </w:r>
      <m:oMath>
        <m:r>
          <w:rPr>
            <w:rFonts w:ascii="Cambria Math" w:eastAsia="MS Gothic" w:hAnsi="Cambria Math"/>
            <w:szCs w:val="18"/>
            <w:lang w:eastAsia="ja-JP"/>
          </w:rPr>
          <m:t>2×2 =4</m:t>
        </m:r>
      </m:oMath>
      <w:r w:rsidR="004500A6">
        <w:rPr>
          <w:rFonts w:eastAsia="MS Gothic"/>
          <w:szCs w:val="18"/>
          <w:lang w:eastAsia="ja-JP"/>
        </w:rPr>
        <w:t>) is possible, and concurrent processing of one CSI prediction task and two BM-Case 2 tasks (</w:t>
      </w:r>
      <m:oMath>
        <m:r>
          <w:rPr>
            <w:rFonts w:ascii="Cambria Math" w:eastAsia="MS Gothic" w:hAnsi="Cambria Math"/>
            <w:szCs w:val="18"/>
            <w:lang w:eastAsia="ja-JP"/>
          </w:rPr>
          <m:t>2 + 2×1 = 4</m:t>
        </m:r>
      </m:oMath>
      <w:r w:rsidR="004500A6">
        <w:rPr>
          <w:rFonts w:eastAsia="MS Gothic"/>
          <w:szCs w:val="18"/>
          <w:lang w:eastAsia="ja-JP"/>
        </w:rPr>
        <w:t>) is possible.</w:t>
      </w:r>
    </w:p>
    <w:p w14:paraId="05F0DD0E" w14:textId="77777777" w:rsidR="00DB48C5" w:rsidRPr="00CA73BE" w:rsidRDefault="00DB48C5" w:rsidP="00DB48C5">
      <w:pPr>
        <w:rPr>
          <w:rFonts w:eastAsia="MS Gothic"/>
          <w:szCs w:val="18"/>
          <w:lang w:eastAsia="ja-JP"/>
        </w:rPr>
      </w:pPr>
    </w:p>
    <w:p w14:paraId="020B473F" w14:textId="591F298E" w:rsidR="00DB48C5" w:rsidRPr="00EE54E5" w:rsidRDefault="00DB48C5" w:rsidP="00EE54E5">
      <w:pPr>
        <w:pStyle w:val="Observation"/>
        <w:rPr>
          <w:rStyle w:val="Strong"/>
          <w:b/>
          <w:bCs/>
        </w:rPr>
      </w:pPr>
      <w:r w:rsidRPr="00EE54E5">
        <w:rPr>
          <w:rStyle w:val="Strong"/>
          <w:b/>
          <w:bCs/>
        </w:rPr>
        <w:t>To enable implementation flexibility, the number of APUs for each AI/ML enabled CSI processing feature can be indicated via UE capability.</w:t>
      </w:r>
    </w:p>
    <w:p w14:paraId="7721DE58" w14:textId="77777777" w:rsidR="00CA73BE" w:rsidRPr="00CA73BE" w:rsidRDefault="00CA73BE" w:rsidP="00DB48C5">
      <w:pPr>
        <w:rPr>
          <w:rFonts w:eastAsia="MS Gothic"/>
          <w:b/>
          <w:bCs/>
          <w:szCs w:val="18"/>
          <w:lang w:eastAsia="ja-JP"/>
        </w:rPr>
      </w:pPr>
    </w:p>
    <w:p w14:paraId="23EE8703" w14:textId="6A396AAC" w:rsidR="00DB48C5" w:rsidRPr="00CA73BE" w:rsidRDefault="00DB48C5" w:rsidP="00DB48C5">
      <w:pPr>
        <w:rPr>
          <w:b/>
          <w:bCs/>
        </w:rPr>
      </w:pPr>
      <w:r w:rsidRPr="00CA73BE">
        <w:rPr>
          <w:b/>
          <w:bCs/>
        </w:rPr>
        <w:t>Solution 2: Introduce tuples for supported combinations of concurrent AI/ML-enabled CSI processing across different features, as part of UE capability</w:t>
      </w:r>
    </w:p>
    <w:p w14:paraId="6DE441D3" w14:textId="0A6587FD" w:rsidR="00DB48C5" w:rsidRPr="00CA73BE" w:rsidRDefault="00DB48C5" w:rsidP="00DB48C5">
      <w:r w:rsidRPr="00CA73BE">
        <w:t xml:space="preserve">To explain this solution, let us also use an illustrative example. Let us use the terminology </w:t>
      </w:r>
      <m:oMath>
        <m:r>
          <w:rPr>
            <w:rFonts w:ascii="Cambria Math" w:hAnsi="Cambria Math"/>
          </w:rPr>
          <m:t>(X, Y, Z)</m:t>
        </m:r>
      </m:oMath>
      <w:r w:rsidRPr="00CA73BE">
        <w:t xml:space="preserve"> as the tuple that can be used to represent the possible concurrent combinations for CSI compression, CSI prediction, and beam prediction, respectively. In particular, </w:t>
      </w:r>
      <m:oMath>
        <m:r>
          <w:rPr>
            <w:rFonts w:ascii="Cambria Math" w:hAnsi="Cambria Math"/>
          </w:rPr>
          <m:t>(2X, Y, 0)</m:t>
        </m:r>
      </m:oMath>
      <w:r w:rsidRPr="00CA73BE">
        <w:t xml:space="preserve"> would mean that concurrent processing of two CSI compression AI/ML-enabled tasks, and one CSI prediction task is possible. As another example, </w:t>
      </w:r>
      <m:oMath>
        <m:r>
          <w:rPr>
            <w:rFonts w:ascii="Cambria Math" w:hAnsi="Cambria Math"/>
          </w:rPr>
          <m:t>(0, Y, 2Z)</m:t>
        </m:r>
      </m:oMath>
      <w:r w:rsidRPr="00CA73BE">
        <w:t xml:space="preserve"> would imply that concurrent processing of a CSI prediction feature and two beam prediction features is possible. As one more example, </w:t>
      </w:r>
      <m:oMath>
        <m:r>
          <w:rPr>
            <w:rFonts w:ascii="Cambria Math" w:hAnsi="Cambria Math"/>
          </w:rPr>
          <m:t xml:space="preserve">(X, Y, Z) </m:t>
        </m:r>
      </m:oMath>
      <w:r w:rsidRPr="00CA73BE">
        <w:t>would mean UE is capable of concurrent processing of a CSI compression feature, a CSI prediction feature, and a beam prediction feature. As long as the supported tuples are indicated in the UE capability, the concurrent processing of features can be ensured by relying on that information.</w:t>
      </w:r>
    </w:p>
    <w:p w14:paraId="6F9F67D3" w14:textId="30ACF09E" w:rsidR="00AB3379" w:rsidRDefault="00DB48C5" w:rsidP="00CA73BE">
      <w:r w:rsidRPr="00CA73BE">
        <w:t xml:space="preserve">Now, let us compare Solution 1 and Solution 2. Solution 1 primarily relies on a linear equation for determining the concurrent processing capability, whereas Solution 2 provides a more flexible framework that may not be possible via Solution 1. Again, let’s consider an illustrative example here. Let us assume that the total CPU budget for AI/ML-enabled CSI processing is N. Considering UE implementation considerations, UE may support </w:t>
      </w:r>
      <m:oMath>
        <m:r>
          <w:rPr>
            <w:rFonts w:ascii="Cambria Math" w:hAnsi="Cambria Math"/>
          </w:rPr>
          <m:t>(2X, Y, 0)</m:t>
        </m:r>
      </m:oMath>
      <w:r w:rsidRPr="00CA73BE">
        <w:t xml:space="preserve">, and </w:t>
      </w:r>
      <m:oMath>
        <m:r>
          <w:rPr>
            <w:rFonts w:ascii="Cambria Math" w:hAnsi="Cambria Math"/>
          </w:rPr>
          <m:t>(0, Y, 2Z)</m:t>
        </m:r>
      </m:oMath>
      <w:r w:rsidRPr="00CA73BE">
        <w:t xml:space="preserve">, but not </w:t>
      </w:r>
      <m:oMath>
        <m:r>
          <w:rPr>
            <w:rFonts w:ascii="Cambria Math" w:hAnsi="Cambria Math"/>
          </w:rPr>
          <m:t>(X, Y, Z)</m:t>
        </m:r>
      </m:oMath>
      <w:r w:rsidRPr="00CA73BE">
        <w:t xml:space="preserve">. In such a case, if we go with solution 1, we need to ensure that these linear constraints hold: </w:t>
      </w:r>
      <m:oMath>
        <m:r>
          <w:rPr>
            <w:rFonts w:ascii="Cambria Math" w:hAnsi="Cambria Math"/>
          </w:rPr>
          <m:t>2X + Y&lt;N</m:t>
        </m:r>
      </m:oMath>
      <w:r w:rsidRPr="00CA73BE">
        <w:t xml:space="preserve">, </w:t>
      </w:r>
      <m:oMath>
        <m:r>
          <w:rPr>
            <w:rFonts w:ascii="Cambria Math" w:hAnsi="Cambria Math"/>
          </w:rPr>
          <m:t>Y + 2Z &lt; N</m:t>
        </m:r>
      </m:oMath>
      <w:r w:rsidRPr="00CA73BE">
        <w:t xml:space="preserve">, and </w:t>
      </w:r>
      <m:oMath>
        <m:r>
          <w:rPr>
            <w:rFonts w:ascii="Cambria Math" w:hAnsi="Cambria Math"/>
          </w:rPr>
          <m:t>X + Y + Z &gt; N</m:t>
        </m:r>
      </m:oMath>
      <w:r w:rsidRPr="00CA73BE">
        <w:t xml:space="preserve">, which would not be feasible. In summary, solution 2 gives us more knobs to customize </w:t>
      </w:r>
      <w:r w:rsidRPr="00CA73BE">
        <w:lastRenderedPageBreak/>
        <w:t>different possible combinations for concurrent AI/ML-enabled CSI processing, accounting for implementation consideration.</w:t>
      </w:r>
    </w:p>
    <w:p w14:paraId="55E7ED27" w14:textId="77777777" w:rsidR="008520B3" w:rsidRDefault="008520B3" w:rsidP="00CA73BE"/>
    <w:p w14:paraId="3702DEB0" w14:textId="16C5B16E" w:rsidR="00294AF6" w:rsidRDefault="00294AF6" w:rsidP="00294AF6">
      <w:pPr>
        <w:pStyle w:val="Proposal"/>
      </w:pPr>
      <w:r>
        <w:t>For AI/ML processing units, consider the following solutions</w:t>
      </w:r>
      <w:r>
        <w:br/>
        <w:t xml:space="preserve">Solution 1: </w:t>
      </w:r>
      <w:r w:rsidRPr="00294AF6">
        <w:t>Use a shared AI/ML processing unit budget and per-use-case processing unit count, reported in UE capability</w:t>
      </w:r>
      <w:r>
        <w:br/>
        <w:t xml:space="preserve">Solution 2: </w:t>
      </w:r>
      <w:r w:rsidRPr="00294AF6">
        <w:t>Introduce tuples for supported combinations of concurrent AI/ML-enabled CSI processing across different features, as part of UE capability</w:t>
      </w:r>
    </w:p>
    <w:p w14:paraId="685E1200" w14:textId="77777777" w:rsidR="00294AF6" w:rsidRDefault="00294AF6" w:rsidP="00CA73BE"/>
    <w:p w14:paraId="00CFBAC5" w14:textId="77777777" w:rsidR="008520B3" w:rsidRPr="008520B3" w:rsidRDefault="008520B3" w:rsidP="008520B3">
      <w:pPr>
        <w:rPr>
          <w:b/>
          <w:bCs/>
          <w:u w:val="single"/>
        </w:rPr>
      </w:pPr>
      <w:r w:rsidRPr="008520B3">
        <w:rPr>
          <w:b/>
          <w:bCs/>
          <w:u w:val="single"/>
        </w:rPr>
        <w:t>Timeline for concurrent processing</w:t>
      </w:r>
    </w:p>
    <w:p w14:paraId="3C3CD169" w14:textId="77777777" w:rsidR="008520B3" w:rsidRPr="008520B3" w:rsidRDefault="008520B3" w:rsidP="008520B3">
      <w:r w:rsidRPr="008520B3">
        <w:t xml:space="preserve">In Rel-15, there are two timeline tables, one is for ultra-low latency, the other one is nominal timeline requirements of each individual case. The condition for applying the ultra-low latency timeline requirements includes allocating all CPUs to a single CSI report, wideband Type I CSI with single resource of up to 4 ports, and no HARQ-ACK multiplexed on the UL-SCH. This means that if a relatively low complexity CSI is triggered alone, an ultra-low latency timeline can be applied if it occupies all the computation resource or memory. Motivated by that, for AIML processing, additional latency may be considered for the case with and without concurrent processing. </w:t>
      </w:r>
    </w:p>
    <w:p w14:paraId="2FFDCDE0" w14:textId="6BC3E137" w:rsidR="00AB3379" w:rsidRPr="008520B3" w:rsidRDefault="008520B3" w:rsidP="0014721C">
      <w:pPr>
        <w:pStyle w:val="Proposal"/>
      </w:pPr>
      <w:r w:rsidRPr="008520B3">
        <w:t xml:space="preserve">Study the latency requirements </w:t>
      </w:r>
      <w:r w:rsidR="008869A7">
        <w:t>for</w:t>
      </w:r>
      <w:r w:rsidRPr="008520B3">
        <w:t xml:space="preserve"> concurrent and non-concurrent AIML processing.</w:t>
      </w:r>
    </w:p>
    <w:bookmarkEnd w:id="3"/>
    <w:p w14:paraId="1A06D05B" w14:textId="732B6801" w:rsidR="00A32F07" w:rsidRDefault="00A32F07" w:rsidP="00B540C6">
      <w:pPr>
        <w:pStyle w:val="Heading1"/>
      </w:pPr>
      <w:r>
        <w:t>Conclusions</w:t>
      </w:r>
    </w:p>
    <w:p w14:paraId="4B28DC7F" w14:textId="3998C59E" w:rsidR="00A32F07" w:rsidRDefault="00BC70B7" w:rsidP="00A32F07">
      <w:r w:rsidRPr="00BC70B7">
        <w:t>In this document, we have discussed aspects related to</w:t>
      </w:r>
      <w:r>
        <w:t xml:space="preserve"> AI/ML-based CSI compression using two-sided model. We have the following observations:</w:t>
      </w:r>
    </w:p>
    <w:p w14:paraId="5F988C9B" w14:textId="36C8CB6B" w:rsidR="0041311C" w:rsidRPr="0041311C" w:rsidRDefault="00F52514" w:rsidP="00A32F07">
      <w:pPr>
        <w:rPr>
          <w:b/>
          <w:bCs/>
        </w:rPr>
      </w:pPr>
      <w:r w:rsidRPr="0041311C">
        <w:rPr>
          <w:b/>
          <w:bCs/>
        </w:rPr>
        <w:fldChar w:fldCharType="begin"/>
      </w:r>
      <w:r w:rsidRPr="0041311C">
        <w:rPr>
          <w:b/>
          <w:bCs/>
        </w:rPr>
        <w:instrText xml:space="preserve"> REF _Ref194071890 \w \h </w:instrText>
      </w:r>
      <w:r w:rsidR="0041311C">
        <w:rPr>
          <w:b/>
          <w:bCs/>
        </w:rPr>
        <w:instrText xml:space="preserve"> \* MERGEFORMAT </w:instrText>
      </w:r>
      <w:r w:rsidRPr="0041311C">
        <w:rPr>
          <w:b/>
          <w:bCs/>
        </w:rPr>
      </w:r>
      <w:r w:rsidRPr="0041311C">
        <w:rPr>
          <w:b/>
          <w:bCs/>
        </w:rPr>
        <w:fldChar w:fldCharType="separate"/>
      </w:r>
      <w:r w:rsidR="00631423">
        <w:rPr>
          <w:b/>
          <w:bCs/>
        </w:rPr>
        <w:t>Observation 1:</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_Ref194071890 \h </w:instrText>
      </w:r>
      <w:r w:rsidR="0041311C">
        <w:rPr>
          <w:b/>
          <w:bCs/>
        </w:rPr>
        <w:instrText xml:space="preserve"> \* MERGEFORMAT </w:instrText>
      </w:r>
      <w:r w:rsidRPr="0041311C">
        <w:rPr>
          <w:b/>
          <w:bCs/>
        </w:rPr>
      </w:r>
      <w:r w:rsidRPr="0041311C">
        <w:rPr>
          <w:b/>
          <w:bCs/>
        </w:rPr>
        <w:fldChar w:fldCharType="separate"/>
      </w:r>
      <w:r w:rsidR="00631423" w:rsidRPr="00631423">
        <w:rPr>
          <w:rFonts w:eastAsia="SimSun" w:cs="Times"/>
          <w:b/>
          <w:bCs/>
          <w:lang w:eastAsia="x-none"/>
        </w:rPr>
        <w:t>Important issues (issue 1, 2, 4 and 9) listed in RAN1 #118, including performance issues due to data mismatch, proprietary concern and additional information for Direction A and C have been answered positively.</w:t>
      </w:r>
      <w:r w:rsidRPr="0041311C">
        <w:rPr>
          <w:b/>
          <w:bCs/>
        </w:rPr>
        <w:fldChar w:fldCharType="end"/>
      </w:r>
      <w:r w:rsidR="0041311C" w:rsidRPr="0041311C">
        <w:rPr>
          <w:b/>
          <w:bCs/>
        </w:rPr>
        <w:t xml:space="preserve"> </w:t>
      </w:r>
    </w:p>
    <w:p w14:paraId="10ADE3E8" w14:textId="70886506" w:rsidR="0041311C" w:rsidRPr="0041311C" w:rsidRDefault="0041311C" w:rsidP="00A32F07">
      <w:pPr>
        <w:rPr>
          <w:b/>
          <w:bCs/>
        </w:rPr>
      </w:pPr>
      <w:r w:rsidRPr="0041311C">
        <w:rPr>
          <w:b/>
          <w:bCs/>
        </w:rPr>
        <w:fldChar w:fldCharType="begin"/>
      </w:r>
      <w:r w:rsidRPr="0041311C">
        <w:rPr>
          <w:b/>
          <w:bCs/>
        </w:rPr>
        <w:instrText xml:space="preserve"> REF _Ref194071919 \w \h </w:instrText>
      </w:r>
      <w:r>
        <w:rPr>
          <w:b/>
          <w:bCs/>
        </w:rPr>
        <w:instrText xml:space="preserve"> \* MERGEFORMAT </w:instrText>
      </w:r>
      <w:r w:rsidRPr="0041311C">
        <w:rPr>
          <w:b/>
          <w:bCs/>
        </w:rPr>
      </w:r>
      <w:r w:rsidRPr="0041311C">
        <w:rPr>
          <w:b/>
          <w:bCs/>
        </w:rPr>
        <w:fldChar w:fldCharType="separate"/>
      </w:r>
      <w:r w:rsidR="00631423">
        <w:rPr>
          <w:b/>
          <w:bCs/>
        </w:rPr>
        <w:t>Observation 2:</w:t>
      </w:r>
      <w:r w:rsidRPr="0041311C">
        <w:rPr>
          <w:b/>
          <w:bCs/>
        </w:rPr>
        <w:fldChar w:fldCharType="end"/>
      </w:r>
      <w:r w:rsidRPr="0041311C">
        <w:rPr>
          <w:b/>
          <w:bCs/>
        </w:rPr>
        <w:t xml:space="preserve"> </w:t>
      </w:r>
      <w:r w:rsidR="009D5FD3" w:rsidRPr="0041311C">
        <w:rPr>
          <w:b/>
          <w:bCs/>
        </w:rPr>
        <w:fldChar w:fldCharType="begin"/>
      </w:r>
      <w:r w:rsidR="009D5FD3" w:rsidRPr="0041311C">
        <w:rPr>
          <w:b/>
          <w:bCs/>
        </w:rPr>
        <w:instrText xml:space="preserve"> REF _Ref194071919 \h </w:instrText>
      </w:r>
      <w:r>
        <w:rPr>
          <w:b/>
          <w:bCs/>
        </w:rPr>
        <w:instrText xml:space="preserve"> \* MERGEFORMAT </w:instrText>
      </w:r>
      <w:r w:rsidR="009D5FD3" w:rsidRPr="0041311C">
        <w:rPr>
          <w:b/>
          <w:bCs/>
        </w:rPr>
      </w:r>
      <w:r w:rsidR="009D5FD3" w:rsidRPr="0041311C">
        <w:rPr>
          <w:b/>
          <w:bCs/>
        </w:rPr>
        <w:fldChar w:fldCharType="separate"/>
      </w:r>
      <w:r w:rsidR="00631423" w:rsidRPr="00631423">
        <w:rPr>
          <w:rFonts w:eastAsia="SimSun" w:cs="Times"/>
          <w:b/>
          <w:bCs/>
          <w:lang w:eastAsia="x-none"/>
        </w:rPr>
        <w:t>Remaining issues of Direction A and C are model (structure) standardization feasibility and scalability and signalling feasibility of exchanging dataset / parameters.</w:t>
      </w:r>
      <w:r w:rsidR="009D5FD3" w:rsidRPr="0041311C">
        <w:rPr>
          <w:b/>
          <w:bCs/>
        </w:rPr>
        <w:fldChar w:fldCharType="end"/>
      </w:r>
    </w:p>
    <w:p w14:paraId="703F8E59" w14:textId="6847B885" w:rsidR="0041311C" w:rsidRPr="0041311C" w:rsidRDefault="009D5FD3" w:rsidP="00A32F07">
      <w:pPr>
        <w:rPr>
          <w:b/>
          <w:bCs/>
        </w:rPr>
      </w:pPr>
      <w:r w:rsidRPr="0041311C">
        <w:rPr>
          <w:b/>
          <w:bCs/>
        </w:rPr>
        <w:fldChar w:fldCharType="begin"/>
      </w:r>
      <w:r w:rsidRPr="0041311C">
        <w:rPr>
          <w:b/>
          <w:bCs/>
        </w:rPr>
        <w:instrText xml:space="preserve"> REF _Ref194071944 \w \h </w:instrText>
      </w:r>
      <w:r w:rsidR="0041311C">
        <w:rPr>
          <w:b/>
          <w:bCs/>
        </w:rPr>
        <w:instrText xml:space="preserve"> \* MERGEFORMAT </w:instrText>
      </w:r>
      <w:r w:rsidRPr="0041311C">
        <w:rPr>
          <w:b/>
          <w:bCs/>
        </w:rPr>
      </w:r>
      <w:r w:rsidRPr="0041311C">
        <w:rPr>
          <w:b/>
          <w:bCs/>
        </w:rPr>
        <w:fldChar w:fldCharType="separate"/>
      </w:r>
      <w:r w:rsidR="00631423">
        <w:rPr>
          <w:b/>
          <w:bCs/>
        </w:rPr>
        <w:t>Observation 3:</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_Ref194071944 \h </w:instrText>
      </w:r>
      <w:r w:rsidR="0041311C">
        <w:rPr>
          <w:b/>
          <w:bCs/>
        </w:rPr>
        <w:instrText xml:space="preserve"> \* MERGEFORMAT </w:instrText>
      </w:r>
      <w:r w:rsidRPr="0041311C">
        <w:rPr>
          <w:b/>
          <w:bCs/>
        </w:rPr>
      </w:r>
      <w:r w:rsidRPr="0041311C">
        <w:rPr>
          <w:b/>
          <w:bCs/>
        </w:rPr>
        <w:fldChar w:fldCharType="separate"/>
      </w:r>
      <w:r w:rsidR="00631423" w:rsidRPr="00631423">
        <w:rPr>
          <w:rFonts w:eastAsia="SimSun" w:cs="Times"/>
          <w:b/>
          <w:bCs/>
          <w:lang w:eastAsia="x-none"/>
        </w:rPr>
        <w:t>Sub-option 4-1 has less specification effort than sub-option 3a-1, while sub-option 3a-1 may yield less overhead in exchanging the model parameter than the dataset.</w:t>
      </w:r>
      <w:r w:rsidRPr="0041311C">
        <w:rPr>
          <w:b/>
          <w:bCs/>
        </w:rPr>
        <w:fldChar w:fldCharType="end"/>
      </w:r>
    </w:p>
    <w:p w14:paraId="60C8678D" w14:textId="73D7D664" w:rsidR="0041311C" w:rsidRPr="0041311C" w:rsidRDefault="009D5FD3" w:rsidP="00A32F07">
      <w:pPr>
        <w:rPr>
          <w:b/>
          <w:bCs/>
        </w:rPr>
      </w:pPr>
      <w:r w:rsidRPr="0041311C">
        <w:rPr>
          <w:b/>
          <w:bCs/>
        </w:rPr>
        <w:fldChar w:fldCharType="begin"/>
      </w:r>
      <w:r w:rsidRPr="0041311C">
        <w:rPr>
          <w:b/>
          <w:bCs/>
        </w:rPr>
        <w:instrText xml:space="preserve"> REF _Ref194071952 \w \h </w:instrText>
      </w:r>
      <w:r w:rsidR="0041311C">
        <w:rPr>
          <w:b/>
          <w:bCs/>
        </w:rPr>
        <w:instrText xml:space="preserve"> \* MERGEFORMAT </w:instrText>
      </w:r>
      <w:r w:rsidRPr="0041311C">
        <w:rPr>
          <w:b/>
          <w:bCs/>
        </w:rPr>
      </w:r>
      <w:r w:rsidRPr="0041311C">
        <w:rPr>
          <w:b/>
          <w:bCs/>
        </w:rPr>
        <w:fldChar w:fldCharType="separate"/>
      </w:r>
      <w:r w:rsidR="00631423">
        <w:rPr>
          <w:b/>
          <w:bCs/>
        </w:rPr>
        <w:t>Observation 4:</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_Ref194071952 \h </w:instrText>
      </w:r>
      <w:r w:rsidR="0041311C">
        <w:rPr>
          <w:b/>
          <w:bCs/>
        </w:rPr>
        <w:instrText xml:space="preserve"> \* MERGEFORMAT </w:instrText>
      </w:r>
      <w:r w:rsidRPr="0041311C">
        <w:rPr>
          <w:b/>
          <w:bCs/>
        </w:rPr>
      </w:r>
      <w:r w:rsidRPr="0041311C">
        <w:rPr>
          <w:b/>
          <w:bCs/>
        </w:rPr>
        <w:fldChar w:fldCharType="separate"/>
      </w:r>
      <w:r w:rsidR="00631423" w:rsidRPr="00631423">
        <w:rPr>
          <w:rFonts w:eastAsia="SimSun" w:cs="Times"/>
          <w:b/>
          <w:bCs/>
          <w:lang w:eastAsia="x-none"/>
        </w:rPr>
        <w:t>Based on observations captured in the last meeting, some companies observe 4-1 outperforms 3a-1, while some companies observe similar performance.</w:t>
      </w:r>
      <w:r w:rsidRPr="0041311C">
        <w:rPr>
          <w:b/>
          <w:bCs/>
        </w:rPr>
        <w:fldChar w:fldCharType="end"/>
      </w:r>
    </w:p>
    <w:p w14:paraId="46F2DFB5" w14:textId="12FDA705" w:rsidR="0041311C" w:rsidRPr="0041311C" w:rsidRDefault="009D5FD3" w:rsidP="00A32F07">
      <w:pPr>
        <w:rPr>
          <w:b/>
          <w:bCs/>
        </w:rPr>
      </w:pPr>
      <w:r w:rsidRPr="0041311C">
        <w:rPr>
          <w:b/>
          <w:bCs/>
        </w:rPr>
        <w:fldChar w:fldCharType="begin"/>
      </w:r>
      <w:r w:rsidRPr="0041311C">
        <w:rPr>
          <w:b/>
          <w:bCs/>
        </w:rPr>
        <w:instrText xml:space="preserve"> REF _Ref194071964 \n \h </w:instrText>
      </w:r>
      <w:r w:rsidR="0041311C">
        <w:rPr>
          <w:b/>
          <w:bCs/>
        </w:rPr>
        <w:instrText xml:space="preserve"> \* MERGEFORMAT </w:instrText>
      </w:r>
      <w:r w:rsidRPr="0041311C">
        <w:rPr>
          <w:b/>
          <w:bCs/>
        </w:rPr>
      </w:r>
      <w:r w:rsidRPr="0041311C">
        <w:rPr>
          <w:b/>
          <w:bCs/>
        </w:rPr>
        <w:fldChar w:fldCharType="separate"/>
      </w:r>
      <w:r w:rsidR="00631423">
        <w:rPr>
          <w:b/>
          <w:bCs/>
        </w:rPr>
        <w:t>Observation 5:</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_Ref194071964 \h </w:instrText>
      </w:r>
      <w:r w:rsidR="0041311C">
        <w:rPr>
          <w:b/>
          <w:bCs/>
        </w:rPr>
        <w:instrText xml:space="preserve"> \* MERGEFORMAT </w:instrText>
      </w:r>
      <w:r w:rsidRPr="0041311C">
        <w:rPr>
          <w:b/>
          <w:bCs/>
        </w:rPr>
      </w:r>
      <w:r w:rsidRPr="0041311C">
        <w:rPr>
          <w:b/>
          <w:bCs/>
        </w:rPr>
        <w:fldChar w:fldCharType="separate"/>
      </w:r>
      <w:r w:rsidR="00631423" w:rsidRPr="00631423">
        <w:rPr>
          <w:rFonts w:eastAsia="SimSun" w:cs="Times"/>
          <w:b/>
          <w:bCs/>
          <w:lang w:eastAsia="x-none"/>
        </w:rPr>
        <w:t>Specific linear embedding and zero-padding achieve good scalability performance for antenna port configurations with marginal loss relative to specific model development. Specific linear embedding slightly outperforms zero-padding.</w:t>
      </w:r>
      <w:r w:rsidRPr="0041311C">
        <w:rPr>
          <w:b/>
          <w:bCs/>
        </w:rPr>
        <w:fldChar w:fldCharType="end"/>
      </w:r>
    </w:p>
    <w:p w14:paraId="6BE9F99E" w14:textId="37F26D37" w:rsidR="0041311C" w:rsidRPr="0041311C" w:rsidRDefault="009D5FD3" w:rsidP="00A32F07">
      <w:pPr>
        <w:rPr>
          <w:b/>
          <w:bCs/>
        </w:rPr>
      </w:pPr>
      <w:r w:rsidRPr="0041311C">
        <w:rPr>
          <w:b/>
          <w:bCs/>
        </w:rPr>
        <w:fldChar w:fldCharType="begin"/>
      </w:r>
      <w:r w:rsidRPr="0041311C">
        <w:rPr>
          <w:b/>
          <w:bCs/>
        </w:rPr>
        <w:instrText xml:space="preserve"> REF _Ref194071978 \w \h </w:instrText>
      </w:r>
      <w:r w:rsidR="0041311C">
        <w:rPr>
          <w:b/>
          <w:bCs/>
        </w:rPr>
        <w:instrText xml:space="preserve"> \* MERGEFORMAT </w:instrText>
      </w:r>
      <w:r w:rsidRPr="0041311C">
        <w:rPr>
          <w:b/>
          <w:bCs/>
        </w:rPr>
      </w:r>
      <w:r w:rsidRPr="0041311C">
        <w:rPr>
          <w:b/>
          <w:bCs/>
        </w:rPr>
        <w:fldChar w:fldCharType="separate"/>
      </w:r>
      <w:r w:rsidR="00631423">
        <w:rPr>
          <w:b/>
          <w:bCs/>
        </w:rPr>
        <w:t>Observation 6:</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_Ref194071978 \h </w:instrText>
      </w:r>
      <w:r w:rsidR="0041311C">
        <w:rPr>
          <w:b/>
          <w:bCs/>
        </w:rPr>
        <w:instrText xml:space="preserve"> \* MERGEFORMAT </w:instrText>
      </w:r>
      <w:r w:rsidRPr="0041311C">
        <w:rPr>
          <w:b/>
          <w:bCs/>
        </w:rPr>
      </w:r>
      <w:r w:rsidRPr="0041311C">
        <w:rPr>
          <w:b/>
          <w:bCs/>
        </w:rPr>
        <w:fldChar w:fldCharType="separate"/>
      </w:r>
      <w:r w:rsidR="00631423" w:rsidRPr="00631423">
        <w:rPr>
          <w:rFonts w:eastAsia="SimSun" w:cs="Times"/>
          <w:b/>
          <w:bCs/>
          <w:lang w:eastAsia="x-none"/>
        </w:rPr>
        <w:t>Transformer with proper positional embedding and zero-padding achieve good generalization performance (with marginal loss relative to specific model development) if sufficient compression tasks are considered in the training phase.</w:t>
      </w:r>
      <w:r w:rsidRPr="0041311C">
        <w:rPr>
          <w:b/>
          <w:bCs/>
        </w:rPr>
        <w:fldChar w:fldCharType="end"/>
      </w:r>
    </w:p>
    <w:p w14:paraId="4E6FBFD5" w14:textId="4E1E9950" w:rsidR="0041311C" w:rsidRPr="0041311C" w:rsidRDefault="0031349D" w:rsidP="00A32F07">
      <w:pPr>
        <w:rPr>
          <w:b/>
          <w:bCs/>
        </w:rPr>
      </w:pPr>
      <w:r w:rsidRPr="0041311C">
        <w:rPr>
          <w:b/>
          <w:bCs/>
        </w:rPr>
        <w:fldChar w:fldCharType="begin"/>
      </w:r>
      <w:r w:rsidRPr="0041311C">
        <w:rPr>
          <w:b/>
          <w:bCs/>
        </w:rPr>
        <w:instrText xml:space="preserve"> REF _Ref194071995 \w \h </w:instrText>
      </w:r>
      <w:r w:rsidR="0041311C">
        <w:rPr>
          <w:b/>
          <w:bCs/>
        </w:rPr>
        <w:instrText xml:space="preserve"> \* MERGEFORMAT </w:instrText>
      </w:r>
      <w:r w:rsidRPr="0041311C">
        <w:rPr>
          <w:b/>
          <w:bCs/>
        </w:rPr>
      </w:r>
      <w:r w:rsidRPr="0041311C">
        <w:rPr>
          <w:b/>
          <w:bCs/>
        </w:rPr>
        <w:fldChar w:fldCharType="separate"/>
      </w:r>
      <w:r w:rsidR="00631423">
        <w:rPr>
          <w:b/>
          <w:bCs/>
        </w:rPr>
        <w:t>Observation 7:</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_Ref194071995 \h </w:instrText>
      </w:r>
      <w:r w:rsidR="0041311C">
        <w:rPr>
          <w:b/>
          <w:bCs/>
        </w:rPr>
        <w:instrText xml:space="preserve"> \* MERGEFORMAT </w:instrText>
      </w:r>
      <w:r w:rsidRPr="0041311C">
        <w:rPr>
          <w:b/>
          <w:bCs/>
        </w:rPr>
      </w:r>
      <w:r w:rsidRPr="0041311C">
        <w:rPr>
          <w:b/>
          <w:bCs/>
        </w:rPr>
        <w:fldChar w:fldCharType="separate"/>
      </w:r>
      <w:r w:rsidR="00631423" w:rsidRPr="00631423">
        <w:rPr>
          <w:rFonts w:eastAsia="SimSun" w:cs="Times"/>
          <w:b/>
          <w:bCs/>
          <w:lang w:eastAsia="x-none"/>
        </w:rPr>
        <w:t>Transformer with specific linear compression layer and specific vector quantization at the end of encoder achieve minor loss relative to specific model design for medium payload and achieve marginal loss for low payload regime.</w:t>
      </w:r>
      <w:r w:rsidRPr="0041311C">
        <w:rPr>
          <w:b/>
          <w:bCs/>
        </w:rPr>
        <w:fldChar w:fldCharType="end"/>
      </w:r>
    </w:p>
    <w:p w14:paraId="099A0535" w14:textId="398C50B7" w:rsidR="0041311C" w:rsidRPr="0041311C" w:rsidRDefault="0031349D" w:rsidP="00A32F07">
      <w:pPr>
        <w:rPr>
          <w:b/>
          <w:bCs/>
        </w:rPr>
      </w:pPr>
      <w:r w:rsidRPr="0041311C">
        <w:rPr>
          <w:b/>
          <w:bCs/>
        </w:rPr>
        <w:lastRenderedPageBreak/>
        <w:fldChar w:fldCharType="begin"/>
      </w:r>
      <w:r w:rsidRPr="0041311C">
        <w:rPr>
          <w:b/>
          <w:bCs/>
        </w:rPr>
        <w:instrText xml:space="preserve"> REF _Ref194072013 \w \h </w:instrText>
      </w:r>
      <w:r w:rsidR="0041311C">
        <w:rPr>
          <w:b/>
          <w:bCs/>
        </w:rPr>
        <w:instrText xml:space="preserve"> \* MERGEFORMAT </w:instrText>
      </w:r>
      <w:r w:rsidRPr="0041311C">
        <w:rPr>
          <w:b/>
          <w:bCs/>
        </w:rPr>
      </w:r>
      <w:r w:rsidRPr="0041311C">
        <w:rPr>
          <w:b/>
          <w:bCs/>
        </w:rPr>
        <w:fldChar w:fldCharType="separate"/>
      </w:r>
      <w:r w:rsidR="00631423">
        <w:rPr>
          <w:b/>
          <w:bCs/>
        </w:rPr>
        <w:t>Observation 8:</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_Ref194072013 \h </w:instrText>
      </w:r>
      <w:r w:rsidR="0041311C">
        <w:rPr>
          <w:b/>
          <w:bCs/>
        </w:rPr>
        <w:instrText xml:space="preserve"> \* MERGEFORMAT </w:instrText>
      </w:r>
      <w:r w:rsidRPr="0041311C">
        <w:rPr>
          <w:b/>
          <w:bCs/>
        </w:rPr>
      </w:r>
      <w:r w:rsidRPr="0041311C">
        <w:rPr>
          <w:b/>
          <w:bCs/>
        </w:rPr>
        <w:fldChar w:fldCharType="separate"/>
      </w:r>
      <w:r w:rsidR="00631423" w:rsidRPr="00885C7E">
        <w:rPr>
          <w:rStyle w:val="Strong"/>
        </w:rPr>
        <w:t>Angle-delay approach may not be suitable for small payload regime considering that SD/FD bases selection would need 20+ bits.</w:t>
      </w:r>
      <w:r w:rsidRPr="0041311C">
        <w:rPr>
          <w:b/>
          <w:bCs/>
        </w:rPr>
        <w:fldChar w:fldCharType="end"/>
      </w:r>
    </w:p>
    <w:p w14:paraId="7385E564" w14:textId="6A592DF3" w:rsidR="0041311C" w:rsidRPr="0041311C" w:rsidRDefault="0031349D" w:rsidP="00A32F07">
      <w:pPr>
        <w:rPr>
          <w:b/>
          <w:bCs/>
        </w:rPr>
      </w:pPr>
      <w:r w:rsidRPr="0041311C">
        <w:rPr>
          <w:b/>
          <w:bCs/>
        </w:rPr>
        <w:fldChar w:fldCharType="begin"/>
      </w:r>
      <w:r w:rsidRPr="0041311C">
        <w:rPr>
          <w:b/>
          <w:bCs/>
        </w:rPr>
        <w:instrText xml:space="preserve"> REF _Ref194072019 \w \h </w:instrText>
      </w:r>
      <w:r w:rsidR="0041311C">
        <w:rPr>
          <w:b/>
          <w:bCs/>
        </w:rPr>
        <w:instrText xml:space="preserve"> \* MERGEFORMAT </w:instrText>
      </w:r>
      <w:r w:rsidRPr="0041311C">
        <w:rPr>
          <w:b/>
          <w:bCs/>
        </w:rPr>
      </w:r>
      <w:r w:rsidRPr="0041311C">
        <w:rPr>
          <w:b/>
          <w:bCs/>
        </w:rPr>
        <w:fldChar w:fldCharType="separate"/>
      </w:r>
      <w:r w:rsidR="00631423">
        <w:rPr>
          <w:b/>
          <w:bCs/>
        </w:rPr>
        <w:t>Observation 9:</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_Ref194072019 \h </w:instrText>
      </w:r>
      <w:r w:rsidR="0041311C">
        <w:rPr>
          <w:b/>
          <w:bCs/>
        </w:rPr>
        <w:instrText xml:space="preserve"> \* MERGEFORMAT </w:instrText>
      </w:r>
      <w:r w:rsidRPr="0041311C">
        <w:rPr>
          <w:b/>
          <w:bCs/>
        </w:rPr>
      </w:r>
      <w:r w:rsidRPr="0041311C">
        <w:rPr>
          <w:b/>
          <w:bCs/>
        </w:rPr>
        <w:fldChar w:fldCharType="separate"/>
      </w:r>
      <w:r w:rsidR="00631423">
        <w:rPr>
          <w:rStyle w:val="Strong"/>
        </w:rPr>
        <w:t>Minor performance degradation (-3%) is observed by reducing the model size 3 times (from 300k + parameter to 100k) for spatial-frequency domain.</w:t>
      </w:r>
      <w:r w:rsidRPr="0041311C">
        <w:rPr>
          <w:b/>
          <w:bCs/>
        </w:rPr>
        <w:fldChar w:fldCharType="end"/>
      </w:r>
    </w:p>
    <w:p w14:paraId="66242B40" w14:textId="37C1DD40" w:rsidR="0041311C" w:rsidRPr="0041311C" w:rsidRDefault="00D46E19" w:rsidP="00A32F07">
      <w:pPr>
        <w:rPr>
          <w:b/>
          <w:bCs/>
        </w:rPr>
      </w:pPr>
      <w:r w:rsidRPr="0041311C">
        <w:rPr>
          <w:b/>
          <w:bCs/>
        </w:rPr>
        <w:fldChar w:fldCharType="begin"/>
      </w:r>
      <w:r w:rsidRPr="0041311C">
        <w:rPr>
          <w:b/>
          <w:bCs/>
        </w:rPr>
        <w:instrText xml:space="preserve"> REF _Ref194072034 \w \h </w:instrText>
      </w:r>
      <w:r w:rsidR="0041311C">
        <w:rPr>
          <w:b/>
          <w:bCs/>
        </w:rPr>
        <w:instrText xml:space="preserve"> \* MERGEFORMAT </w:instrText>
      </w:r>
      <w:r w:rsidRPr="0041311C">
        <w:rPr>
          <w:b/>
          <w:bCs/>
        </w:rPr>
      </w:r>
      <w:r w:rsidRPr="0041311C">
        <w:rPr>
          <w:b/>
          <w:bCs/>
        </w:rPr>
        <w:fldChar w:fldCharType="separate"/>
      </w:r>
      <w:r w:rsidR="00631423">
        <w:rPr>
          <w:b/>
          <w:bCs/>
        </w:rPr>
        <w:t>Observation 10:</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_Ref194072034 \h </w:instrText>
      </w:r>
      <w:r w:rsidR="0041311C">
        <w:rPr>
          <w:b/>
          <w:bCs/>
        </w:rPr>
        <w:instrText xml:space="preserve"> \* MERGEFORMAT </w:instrText>
      </w:r>
      <w:r w:rsidRPr="0041311C">
        <w:rPr>
          <w:b/>
          <w:bCs/>
        </w:rPr>
      </w:r>
      <w:r w:rsidRPr="0041311C">
        <w:rPr>
          <w:b/>
          <w:bCs/>
        </w:rPr>
        <w:fldChar w:fldCharType="separate"/>
      </w:r>
      <w:r w:rsidR="00631423" w:rsidRPr="004E37A9">
        <w:rPr>
          <w:rStyle w:val="Strong"/>
        </w:rPr>
        <w:t>Complexity reduction by representing the precoder in angle-delay domain incurs non-trivial performance degradation in addition to extra payload of SD bases reporting.</w:t>
      </w:r>
      <w:r w:rsidRPr="0041311C">
        <w:rPr>
          <w:b/>
          <w:bCs/>
        </w:rPr>
        <w:fldChar w:fldCharType="end"/>
      </w:r>
    </w:p>
    <w:p w14:paraId="44D51F5E" w14:textId="0E493977" w:rsidR="0041311C" w:rsidRPr="0041311C" w:rsidRDefault="00D46E19" w:rsidP="00A32F07">
      <w:pPr>
        <w:rPr>
          <w:b/>
          <w:bCs/>
        </w:rPr>
      </w:pPr>
      <w:r w:rsidRPr="0041311C">
        <w:rPr>
          <w:b/>
          <w:bCs/>
        </w:rPr>
        <w:fldChar w:fldCharType="begin"/>
      </w:r>
      <w:r w:rsidRPr="0041311C">
        <w:rPr>
          <w:b/>
          <w:bCs/>
        </w:rPr>
        <w:instrText xml:space="preserve"> REF _Ref194072043 \w \h </w:instrText>
      </w:r>
      <w:r w:rsidR="0041311C">
        <w:rPr>
          <w:b/>
          <w:bCs/>
        </w:rPr>
        <w:instrText xml:space="preserve"> \* MERGEFORMAT </w:instrText>
      </w:r>
      <w:r w:rsidRPr="0041311C">
        <w:rPr>
          <w:b/>
          <w:bCs/>
        </w:rPr>
      </w:r>
      <w:r w:rsidRPr="0041311C">
        <w:rPr>
          <w:b/>
          <w:bCs/>
        </w:rPr>
        <w:fldChar w:fldCharType="separate"/>
      </w:r>
      <w:r w:rsidR="00631423">
        <w:rPr>
          <w:b/>
          <w:bCs/>
        </w:rPr>
        <w:t>Observation 11:</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_Ref194072043 \h </w:instrText>
      </w:r>
      <w:r w:rsidR="0041311C">
        <w:rPr>
          <w:b/>
          <w:bCs/>
        </w:rPr>
        <w:instrText xml:space="preserve"> \* MERGEFORMAT </w:instrText>
      </w:r>
      <w:r w:rsidRPr="0041311C">
        <w:rPr>
          <w:b/>
          <w:bCs/>
        </w:rPr>
      </w:r>
      <w:r w:rsidRPr="0041311C">
        <w:rPr>
          <w:b/>
          <w:bCs/>
        </w:rPr>
        <w:fldChar w:fldCharType="separate"/>
      </w:r>
      <w:r w:rsidR="00631423" w:rsidRPr="004E37A9">
        <w:rPr>
          <w:rStyle w:val="Strong"/>
        </w:rPr>
        <w:t>Under similar model size, complexity reduction via NN architecture optimization yields less performance degradation than angle-delay domain approach</w:t>
      </w:r>
      <w:r w:rsidRPr="0041311C">
        <w:rPr>
          <w:b/>
          <w:bCs/>
        </w:rPr>
        <w:fldChar w:fldCharType="end"/>
      </w:r>
    </w:p>
    <w:p w14:paraId="014A7BDC" w14:textId="4D6EFE7E" w:rsidR="0041311C" w:rsidRPr="0041311C" w:rsidRDefault="00D46E19" w:rsidP="00A32F07">
      <w:pPr>
        <w:rPr>
          <w:b/>
          <w:bCs/>
        </w:rPr>
      </w:pPr>
      <w:r w:rsidRPr="0041311C">
        <w:rPr>
          <w:b/>
          <w:bCs/>
        </w:rPr>
        <w:fldChar w:fldCharType="begin"/>
      </w:r>
      <w:r w:rsidRPr="0041311C">
        <w:rPr>
          <w:b/>
          <w:bCs/>
        </w:rPr>
        <w:instrText xml:space="preserve"> REF _Ref194072052 \w \h </w:instrText>
      </w:r>
      <w:r w:rsidR="0041311C">
        <w:rPr>
          <w:b/>
          <w:bCs/>
        </w:rPr>
        <w:instrText xml:space="preserve"> \* MERGEFORMAT </w:instrText>
      </w:r>
      <w:r w:rsidRPr="0041311C">
        <w:rPr>
          <w:b/>
          <w:bCs/>
        </w:rPr>
      </w:r>
      <w:r w:rsidRPr="0041311C">
        <w:rPr>
          <w:b/>
          <w:bCs/>
        </w:rPr>
        <w:fldChar w:fldCharType="separate"/>
      </w:r>
      <w:r w:rsidR="00631423">
        <w:rPr>
          <w:b/>
          <w:bCs/>
        </w:rPr>
        <w:t>Observation 12:</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_Ref194072052 \h </w:instrText>
      </w:r>
      <w:r w:rsidR="0041311C">
        <w:rPr>
          <w:b/>
          <w:bCs/>
        </w:rPr>
        <w:instrText xml:space="preserve"> \* MERGEFORMAT </w:instrText>
      </w:r>
      <w:r w:rsidRPr="0041311C">
        <w:rPr>
          <w:b/>
          <w:bCs/>
        </w:rPr>
      </w:r>
      <w:r w:rsidRPr="0041311C">
        <w:rPr>
          <w:b/>
          <w:bCs/>
        </w:rPr>
        <w:fldChar w:fldCharType="separate"/>
      </w:r>
      <w:r w:rsidR="00631423" w:rsidRPr="00DB4FE2">
        <w:rPr>
          <w:rStyle w:val="Strong"/>
        </w:rPr>
        <w:t xml:space="preserve">A case study on the FLOPs and latency for ML CSF and etypeII computations, shows that even </w:t>
      </w:r>
      <w:r w:rsidR="00631423">
        <w:rPr>
          <w:rStyle w:val="Strong"/>
        </w:rPr>
        <w:t>though</w:t>
      </w:r>
      <w:r w:rsidR="00631423" w:rsidRPr="00DB4FE2">
        <w:rPr>
          <w:rStyle w:val="Strong"/>
        </w:rPr>
        <w:t xml:space="preserve"> ML FLOPs count is </w:t>
      </w:r>
      <w:r w:rsidR="00631423">
        <w:rPr>
          <w:rStyle w:val="Strong"/>
        </w:rPr>
        <w:t>16x times</w:t>
      </w:r>
      <w:r w:rsidR="00631423" w:rsidRPr="00DB4FE2">
        <w:rPr>
          <w:rStyle w:val="Strong"/>
        </w:rPr>
        <w:t xml:space="preserve"> higher, ML can achieve 20-30% latency reduction compared with etypeII. The reason is that matrix operations can be efficiently implemented, and it constitute most of the FLOPs in ML CSF.</w:t>
      </w:r>
      <w:r w:rsidRPr="0041311C">
        <w:rPr>
          <w:b/>
          <w:bCs/>
        </w:rPr>
        <w:fldChar w:fldCharType="end"/>
      </w:r>
    </w:p>
    <w:p w14:paraId="7D178E8A" w14:textId="69DC83EE" w:rsidR="0041311C" w:rsidRPr="0041311C" w:rsidRDefault="00D46E19" w:rsidP="00A32F07">
      <w:pPr>
        <w:rPr>
          <w:b/>
          <w:bCs/>
        </w:rPr>
      </w:pPr>
      <w:r w:rsidRPr="0041311C">
        <w:rPr>
          <w:b/>
          <w:bCs/>
        </w:rPr>
        <w:fldChar w:fldCharType="begin"/>
      </w:r>
      <w:r w:rsidRPr="0041311C">
        <w:rPr>
          <w:b/>
          <w:bCs/>
        </w:rPr>
        <w:instrText xml:space="preserve"> REF _Ref194072060 \w \h </w:instrText>
      </w:r>
      <w:r w:rsidR="0041311C">
        <w:rPr>
          <w:b/>
          <w:bCs/>
        </w:rPr>
        <w:instrText xml:space="preserve"> \* MERGEFORMAT </w:instrText>
      </w:r>
      <w:r w:rsidRPr="0041311C">
        <w:rPr>
          <w:b/>
          <w:bCs/>
        </w:rPr>
      </w:r>
      <w:r w:rsidRPr="0041311C">
        <w:rPr>
          <w:b/>
          <w:bCs/>
        </w:rPr>
        <w:fldChar w:fldCharType="separate"/>
      </w:r>
      <w:r w:rsidR="00631423">
        <w:rPr>
          <w:b/>
          <w:bCs/>
        </w:rPr>
        <w:t>Observation 13:</w:t>
      </w:r>
      <w:r w:rsidRPr="0041311C">
        <w:rPr>
          <w:b/>
          <w:bCs/>
        </w:rPr>
        <w:fldChar w:fldCharType="end"/>
      </w:r>
      <w:r w:rsidR="0041311C" w:rsidRPr="0041311C">
        <w:rPr>
          <w:b/>
          <w:bCs/>
        </w:rPr>
        <w:t xml:space="preserve"> </w:t>
      </w:r>
      <w:r w:rsidRPr="0041311C">
        <w:rPr>
          <w:b/>
          <w:bCs/>
        </w:rPr>
        <w:fldChar w:fldCharType="begin"/>
      </w:r>
      <w:r w:rsidRPr="0041311C">
        <w:rPr>
          <w:b/>
          <w:bCs/>
        </w:rPr>
        <w:instrText xml:space="preserve"> REF _Ref194072060 \h </w:instrText>
      </w:r>
      <w:r w:rsidR="0041311C">
        <w:rPr>
          <w:b/>
          <w:bCs/>
        </w:rPr>
        <w:instrText xml:space="preserve"> \* MERGEFORMAT </w:instrText>
      </w:r>
      <w:r w:rsidRPr="0041311C">
        <w:rPr>
          <w:b/>
          <w:bCs/>
        </w:rPr>
      </w:r>
      <w:r w:rsidRPr="0041311C">
        <w:rPr>
          <w:b/>
          <w:bCs/>
        </w:rPr>
        <w:fldChar w:fldCharType="separate"/>
      </w:r>
      <w:r w:rsidR="00631423" w:rsidRPr="001206AB">
        <w:rPr>
          <w:rStyle w:val="Strong"/>
        </w:rPr>
        <w:t>There are spec-transparent performance monitoring mechanisms for legacy non-AI features. The same logic can be applied to two-sided AIML CSF.</w:t>
      </w:r>
      <w:r w:rsidRPr="0041311C">
        <w:rPr>
          <w:b/>
          <w:bCs/>
        </w:rPr>
        <w:fldChar w:fldCharType="end"/>
      </w:r>
    </w:p>
    <w:p w14:paraId="574995B4" w14:textId="5BCA755C" w:rsidR="0041311C" w:rsidRPr="0041311C" w:rsidRDefault="0041311C" w:rsidP="00A32F07">
      <w:pPr>
        <w:rPr>
          <w:b/>
          <w:bCs/>
        </w:rPr>
      </w:pPr>
      <w:r w:rsidRPr="0041311C">
        <w:rPr>
          <w:b/>
          <w:bCs/>
        </w:rPr>
        <w:fldChar w:fldCharType="begin"/>
      </w:r>
      <w:r w:rsidRPr="0041311C">
        <w:rPr>
          <w:b/>
          <w:bCs/>
        </w:rPr>
        <w:instrText xml:space="preserve"> REF _Ref189860417 \w \h </w:instrText>
      </w:r>
      <w:r>
        <w:rPr>
          <w:b/>
          <w:bCs/>
        </w:rPr>
        <w:instrText xml:space="preserve"> \* MERGEFORMAT </w:instrText>
      </w:r>
      <w:r w:rsidRPr="0041311C">
        <w:rPr>
          <w:b/>
          <w:bCs/>
        </w:rPr>
      </w:r>
      <w:r w:rsidRPr="0041311C">
        <w:rPr>
          <w:b/>
          <w:bCs/>
        </w:rPr>
        <w:fldChar w:fldCharType="separate"/>
      </w:r>
      <w:r w:rsidR="00631423">
        <w:rPr>
          <w:b/>
          <w:bCs/>
        </w:rPr>
        <w:t>Observation 14:</w:t>
      </w:r>
      <w:r w:rsidRPr="0041311C">
        <w:rPr>
          <w:b/>
          <w:bCs/>
        </w:rPr>
        <w:fldChar w:fldCharType="end"/>
      </w:r>
      <w:r w:rsidRPr="0041311C">
        <w:rPr>
          <w:b/>
          <w:bCs/>
        </w:rPr>
        <w:t xml:space="preserve"> </w:t>
      </w:r>
      <w:r w:rsidRPr="0041311C">
        <w:rPr>
          <w:b/>
          <w:bCs/>
        </w:rPr>
        <w:fldChar w:fldCharType="begin"/>
      </w:r>
      <w:r w:rsidRPr="0041311C">
        <w:rPr>
          <w:b/>
          <w:bCs/>
        </w:rPr>
        <w:instrText xml:space="preserve"> REF _Ref189860417 \h </w:instrText>
      </w:r>
      <w:r>
        <w:rPr>
          <w:b/>
          <w:bCs/>
        </w:rPr>
        <w:instrText xml:space="preserve"> \* MERGEFORMAT </w:instrText>
      </w:r>
      <w:r w:rsidRPr="0041311C">
        <w:rPr>
          <w:b/>
          <w:bCs/>
        </w:rPr>
      </w:r>
      <w:r w:rsidRPr="0041311C">
        <w:rPr>
          <w:b/>
          <w:bCs/>
        </w:rPr>
        <w:fldChar w:fldCharType="separate"/>
      </w:r>
      <w:r w:rsidR="00631423" w:rsidRPr="00631423">
        <w:rPr>
          <w:rFonts w:eastAsia="Times New Roman"/>
          <w:b/>
          <w:bCs/>
          <w:lang w:eastAsia="zh-CN"/>
        </w:rPr>
        <w:t>SGCS of good encoder/decoder has a wide range, it is hard to make decision unless enough samples are gathered to get a reliable statistic.</w:t>
      </w:r>
      <w:r w:rsidRPr="0041311C">
        <w:rPr>
          <w:b/>
          <w:bCs/>
        </w:rPr>
        <w:fldChar w:fldCharType="end"/>
      </w:r>
    </w:p>
    <w:p w14:paraId="5674BBBA" w14:textId="417FFFA5" w:rsidR="0041311C" w:rsidRPr="0041311C" w:rsidRDefault="0041311C" w:rsidP="00A32F07">
      <w:pPr>
        <w:rPr>
          <w:b/>
          <w:bCs/>
        </w:rPr>
      </w:pPr>
      <w:r w:rsidRPr="0041311C">
        <w:rPr>
          <w:b/>
          <w:bCs/>
        </w:rPr>
        <w:fldChar w:fldCharType="begin"/>
      </w:r>
      <w:r w:rsidRPr="0041311C">
        <w:rPr>
          <w:b/>
          <w:bCs/>
        </w:rPr>
        <w:instrText xml:space="preserve"> REF _Ref189860425 \w \h </w:instrText>
      </w:r>
      <w:r>
        <w:rPr>
          <w:b/>
          <w:bCs/>
        </w:rPr>
        <w:instrText xml:space="preserve"> \* MERGEFORMAT </w:instrText>
      </w:r>
      <w:r w:rsidRPr="0041311C">
        <w:rPr>
          <w:b/>
          <w:bCs/>
        </w:rPr>
      </w:r>
      <w:r w:rsidRPr="0041311C">
        <w:rPr>
          <w:b/>
          <w:bCs/>
        </w:rPr>
        <w:fldChar w:fldCharType="separate"/>
      </w:r>
      <w:r w:rsidR="00631423">
        <w:rPr>
          <w:b/>
          <w:bCs/>
        </w:rPr>
        <w:t>Observation 15:</w:t>
      </w:r>
      <w:r w:rsidRPr="0041311C">
        <w:rPr>
          <w:b/>
          <w:bCs/>
        </w:rPr>
        <w:fldChar w:fldCharType="end"/>
      </w:r>
      <w:r w:rsidRPr="0041311C">
        <w:rPr>
          <w:b/>
          <w:bCs/>
        </w:rPr>
        <w:t xml:space="preserve"> </w:t>
      </w:r>
      <w:r w:rsidRPr="0041311C">
        <w:rPr>
          <w:b/>
          <w:bCs/>
        </w:rPr>
        <w:fldChar w:fldCharType="begin"/>
      </w:r>
      <w:r w:rsidRPr="0041311C">
        <w:rPr>
          <w:b/>
          <w:bCs/>
        </w:rPr>
        <w:instrText xml:space="preserve"> REF _Ref189860425 \h </w:instrText>
      </w:r>
      <w:r>
        <w:rPr>
          <w:b/>
          <w:bCs/>
        </w:rPr>
        <w:instrText xml:space="preserve"> \* MERGEFORMAT </w:instrText>
      </w:r>
      <w:r w:rsidRPr="0041311C">
        <w:rPr>
          <w:b/>
          <w:bCs/>
        </w:rPr>
      </w:r>
      <w:r w:rsidRPr="0041311C">
        <w:rPr>
          <w:b/>
          <w:bCs/>
        </w:rPr>
        <w:fldChar w:fldCharType="separate"/>
      </w:r>
      <w:r w:rsidR="00631423" w:rsidRPr="00631423">
        <w:rPr>
          <w:b/>
          <w:bCs/>
          <w:lang w:eastAsia="zh-CN"/>
        </w:rPr>
        <w:t>High monitoring accuracy may not matter much in monitoring decision, the dominating factor is the natural SGCS variation.</w:t>
      </w:r>
      <w:r w:rsidRPr="0041311C">
        <w:rPr>
          <w:b/>
          <w:bCs/>
        </w:rPr>
        <w:fldChar w:fldCharType="end"/>
      </w:r>
    </w:p>
    <w:p w14:paraId="5412173C" w14:textId="38518035" w:rsidR="0041311C" w:rsidRPr="0041311C" w:rsidRDefault="0041311C" w:rsidP="00A32F07">
      <w:pPr>
        <w:rPr>
          <w:b/>
          <w:bCs/>
        </w:rPr>
      </w:pPr>
      <w:r w:rsidRPr="0041311C">
        <w:rPr>
          <w:b/>
          <w:bCs/>
        </w:rPr>
        <w:fldChar w:fldCharType="begin"/>
      </w:r>
      <w:r w:rsidRPr="0041311C">
        <w:rPr>
          <w:b/>
          <w:bCs/>
        </w:rPr>
        <w:instrText xml:space="preserve"> REF _Ref194072094 \w \h </w:instrText>
      </w:r>
      <w:r>
        <w:rPr>
          <w:b/>
          <w:bCs/>
        </w:rPr>
        <w:instrText xml:space="preserve"> \* MERGEFORMAT </w:instrText>
      </w:r>
      <w:r w:rsidRPr="0041311C">
        <w:rPr>
          <w:b/>
          <w:bCs/>
        </w:rPr>
      </w:r>
      <w:r w:rsidRPr="0041311C">
        <w:rPr>
          <w:b/>
          <w:bCs/>
        </w:rPr>
        <w:fldChar w:fldCharType="separate"/>
      </w:r>
      <w:r w:rsidR="00631423">
        <w:rPr>
          <w:b/>
          <w:bCs/>
        </w:rPr>
        <w:t>Observation 16:</w:t>
      </w:r>
      <w:r w:rsidRPr="0041311C">
        <w:rPr>
          <w:b/>
          <w:bCs/>
        </w:rPr>
        <w:fldChar w:fldCharType="end"/>
      </w:r>
      <w:r w:rsidRPr="0041311C">
        <w:rPr>
          <w:b/>
          <w:bCs/>
        </w:rPr>
        <w:t xml:space="preserve"> </w:t>
      </w:r>
      <w:r w:rsidRPr="0041311C">
        <w:rPr>
          <w:b/>
          <w:bCs/>
        </w:rPr>
        <w:fldChar w:fldCharType="begin"/>
      </w:r>
      <w:r w:rsidRPr="0041311C">
        <w:rPr>
          <w:b/>
          <w:bCs/>
        </w:rPr>
        <w:instrText xml:space="preserve"> REF _Ref194072094 \h </w:instrText>
      </w:r>
      <w:r>
        <w:rPr>
          <w:b/>
          <w:bCs/>
        </w:rPr>
        <w:instrText xml:space="preserve"> \* MERGEFORMAT </w:instrText>
      </w:r>
      <w:r w:rsidRPr="0041311C">
        <w:rPr>
          <w:b/>
          <w:bCs/>
        </w:rPr>
      </w:r>
      <w:r w:rsidRPr="0041311C">
        <w:rPr>
          <w:b/>
          <w:bCs/>
        </w:rPr>
        <w:fldChar w:fldCharType="separate"/>
      </w:r>
      <w:r w:rsidR="00631423" w:rsidRPr="00631423">
        <w:rPr>
          <w:b/>
          <w:bCs/>
          <w:lang w:eastAsia="zh-CN"/>
        </w:rPr>
        <w:t>Although SGCS CDF curve using eT2 as ground-truth is a bit biased from genie ground-truth, one can still make decision by eT2 curve. This is because the difference in dataset A curve (“in-distribution” CDF) and dataset B curve (“out-of-distribution” CDF) is relatively consistent no matter making decision using eT2 curve or genie curve.</w:t>
      </w:r>
      <w:r w:rsidRPr="0041311C">
        <w:rPr>
          <w:b/>
          <w:bCs/>
        </w:rPr>
        <w:fldChar w:fldCharType="end"/>
      </w:r>
    </w:p>
    <w:p w14:paraId="28B8E7E0" w14:textId="6BC4C34F" w:rsidR="0041311C" w:rsidRPr="0041311C" w:rsidRDefault="0041311C" w:rsidP="00A32F07">
      <w:pPr>
        <w:rPr>
          <w:b/>
          <w:bCs/>
        </w:rPr>
      </w:pPr>
      <w:r w:rsidRPr="0041311C">
        <w:rPr>
          <w:b/>
          <w:bCs/>
        </w:rPr>
        <w:fldChar w:fldCharType="begin"/>
      </w:r>
      <w:r w:rsidRPr="0041311C">
        <w:rPr>
          <w:b/>
          <w:bCs/>
        </w:rPr>
        <w:instrText xml:space="preserve"> REF _Ref189860432 \w \h </w:instrText>
      </w:r>
      <w:r>
        <w:rPr>
          <w:b/>
          <w:bCs/>
        </w:rPr>
        <w:instrText xml:space="preserve"> \* MERGEFORMAT </w:instrText>
      </w:r>
      <w:r w:rsidRPr="0041311C">
        <w:rPr>
          <w:b/>
          <w:bCs/>
        </w:rPr>
      </w:r>
      <w:r w:rsidRPr="0041311C">
        <w:rPr>
          <w:b/>
          <w:bCs/>
        </w:rPr>
        <w:fldChar w:fldCharType="separate"/>
      </w:r>
      <w:r w:rsidR="00631423">
        <w:rPr>
          <w:b/>
          <w:bCs/>
        </w:rPr>
        <w:t>Observation 17:</w:t>
      </w:r>
      <w:r w:rsidRPr="0041311C">
        <w:rPr>
          <w:b/>
          <w:bCs/>
        </w:rPr>
        <w:fldChar w:fldCharType="end"/>
      </w:r>
      <w:r w:rsidRPr="0041311C">
        <w:rPr>
          <w:b/>
          <w:bCs/>
        </w:rPr>
        <w:t xml:space="preserve"> </w:t>
      </w:r>
      <w:r w:rsidRPr="0041311C">
        <w:rPr>
          <w:b/>
          <w:bCs/>
        </w:rPr>
        <w:fldChar w:fldCharType="begin"/>
      </w:r>
      <w:r w:rsidRPr="0041311C">
        <w:rPr>
          <w:b/>
          <w:bCs/>
        </w:rPr>
        <w:instrText xml:space="preserve"> REF _Ref189860432 \h </w:instrText>
      </w:r>
      <w:r>
        <w:rPr>
          <w:b/>
          <w:bCs/>
        </w:rPr>
        <w:instrText xml:space="preserve"> \* MERGEFORMAT </w:instrText>
      </w:r>
      <w:r w:rsidRPr="0041311C">
        <w:rPr>
          <w:b/>
          <w:bCs/>
        </w:rPr>
      </w:r>
      <w:r w:rsidRPr="0041311C">
        <w:rPr>
          <w:b/>
          <w:bCs/>
        </w:rPr>
        <w:fldChar w:fldCharType="separate"/>
      </w:r>
      <w:r w:rsidR="00631423" w:rsidRPr="00631423">
        <w:rPr>
          <w:b/>
          <w:bCs/>
          <w:lang w:eastAsia="zh-CN"/>
        </w:rPr>
        <w:t>Study is needed to determine monitoring accuracy requirement.</w:t>
      </w:r>
      <w:r w:rsidRPr="0041311C">
        <w:rPr>
          <w:b/>
          <w:bCs/>
        </w:rPr>
        <w:fldChar w:fldCharType="end"/>
      </w:r>
    </w:p>
    <w:p w14:paraId="5F8A6B48" w14:textId="01142C9A" w:rsidR="0041311C" w:rsidRPr="0041311C" w:rsidRDefault="0041311C" w:rsidP="00A32F07">
      <w:pPr>
        <w:rPr>
          <w:b/>
          <w:bCs/>
        </w:rPr>
      </w:pPr>
      <w:r w:rsidRPr="0041311C">
        <w:rPr>
          <w:b/>
          <w:bCs/>
        </w:rPr>
        <w:fldChar w:fldCharType="begin"/>
      </w:r>
      <w:r w:rsidRPr="0041311C">
        <w:rPr>
          <w:b/>
          <w:bCs/>
        </w:rPr>
        <w:instrText xml:space="preserve"> REF _Ref189860438 \w \h </w:instrText>
      </w:r>
      <w:r>
        <w:rPr>
          <w:b/>
          <w:bCs/>
        </w:rPr>
        <w:instrText xml:space="preserve"> \* MERGEFORMAT </w:instrText>
      </w:r>
      <w:r w:rsidRPr="0041311C">
        <w:rPr>
          <w:b/>
          <w:bCs/>
        </w:rPr>
      </w:r>
      <w:r w:rsidRPr="0041311C">
        <w:rPr>
          <w:b/>
          <w:bCs/>
        </w:rPr>
        <w:fldChar w:fldCharType="separate"/>
      </w:r>
      <w:r w:rsidR="00631423">
        <w:rPr>
          <w:b/>
          <w:bCs/>
        </w:rPr>
        <w:t>Observation 18:</w:t>
      </w:r>
      <w:r w:rsidRPr="0041311C">
        <w:rPr>
          <w:b/>
          <w:bCs/>
        </w:rPr>
        <w:fldChar w:fldCharType="end"/>
      </w:r>
      <w:r w:rsidRPr="0041311C">
        <w:rPr>
          <w:b/>
          <w:bCs/>
        </w:rPr>
        <w:t xml:space="preserve"> </w:t>
      </w:r>
      <w:r w:rsidRPr="0041311C">
        <w:rPr>
          <w:b/>
          <w:bCs/>
        </w:rPr>
        <w:fldChar w:fldCharType="begin"/>
      </w:r>
      <w:r w:rsidRPr="0041311C">
        <w:rPr>
          <w:b/>
          <w:bCs/>
        </w:rPr>
        <w:instrText xml:space="preserve"> REF _Ref189860438 \h </w:instrText>
      </w:r>
      <w:r>
        <w:rPr>
          <w:b/>
          <w:bCs/>
        </w:rPr>
        <w:instrText xml:space="preserve"> \* MERGEFORMAT </w:instrText>
      </w:r>
      <w:r w:rsidRPr="0041311C">
        <w:rPr>
          <w:b/>
          <w:bCs/>
        </w:rPr>
      </w:r>
      <w:r w:rsidRPr="0041311C">
        <w:rPr>
          <w:b/>
          <w:bCs/>
        </w:rPr>
        <w:fldChar w:fldCharType="separate"/>
      </w:r>
      <w:r w:rsidR="00631423" w:rsidRPr="00824993">
        <w:rPr>
          <w:rStyle w:val="Strong"/>
        </w:rPr>
        <w:t xml:space="preserve">Increasing number of samples used in averaging the SGCS measurement improve the monitoring </w:t>
      </w:r>
      <w:r w:rsidR="00631423">
        <w:rPr>
          <w:rStyle w:val="Strong"/>
        </w:rPr>
        <w:t xml:space="preserve">decision </w:t>
      </w:r>
      <w:r w:rsidR="00631423" w:rsidRPr="00824993">
        <w:rPr>
          <w:rStyle w:val="Strong"/>
        </w:rPr>
        <w:t>accuracy.</w:t>
      </w:r>
      <w:r w:rsidRPr="0041311C">
        <w:rPr>
          <w:b/>
          <w:bCs/>
        </w:rPr>
        <w:fldChar w:fldCharType="end"/>
      </w:r>
    </w:p>
    <w:p w14:paraId="6459CFDA" w14:textId="59D042B2" w:rsidR="0041311C" w:rsidRPr="0041311C" w:rsidRDefault="0041311C" w:rsidP="00A32F07">
      <w:pPr>
        <w:rPr>
          <w:b/>
          <w:bCs/>
        </w:rPr>
      </w:pPr>
      <w:r w:rsidRPr="0041311C">
        <w:rPr>
          <w:b/>
          <w:bCs/>
        </w:rPr>
        <w:fldChar w:fldCharType="begin"/>
      </w:r>
      <w:r w:rsidRPr="0041311C">
        <w:rPr>
          <w:b/>
          <w:bCs/>
        </w:rPr>
        <w:instrText xml:space="preserve"> REF _Ref189860443 \w \h </w:instrText>
      </w:r>
      <w:r>
        <w:rPr>
          <w:b/>
          <w:bCs/>
        </w:rPr>
        <w:instrText xml:space="preserve"> \* MERGEFORMAT </w:instrText>
      </w:r>
      <w:r w:rsidRPr="0041311C">
        <w:rPr>
          <w:b/>
          <w:bCs/>
        </w:rPr>
      </w:r>
      <w:r w:rsidRPr="0041311C">
        <w:rPr>
          <w:b/>
          <w:bCs/>
        </w:rPr>
        <w:fldChar w:fldCharType="separate"/>
      </w:r>
      <w:r w:rsidR="00631423">
        <w:rPr>
          <w:b/>
          <w:bCs/>
        </w:rPr>
        <w:t>Observation 19:</w:t>
      </w:r>
      <w:r w:rsidRPr="0041311C">
        <w:rPr>
          <w:b/>
          <w:bCs/>
        </w:rPr>
        <w:fldChar w:fldCharType="end"/>
      </w:r>
      <w:r w:rsidRPr="0041311C">
        <w:rPr>
          <w:b/>
          <w:bCs/>
        </w:rPr>
        <w:t xml:space="preserve"> </w:t>
      </w:r>
      <w:r w:rsidRPr="0041311C">
        <w:rPr>
          <w:b/>
          <w:bCs/>
        </w:rPr>
        <w:fldChar w:fldCharType="begin"/>
      </w:r>
      <w:r w:rsidRPr="0041311C">
        <w:rPr>
          <w:b/>
          <w:bCs/>
        </w:rPr>
        <w:instrText xml:space="preserve"> REF _Ref189860443 \h </w:instrText>
      </w:r>
      <w:r>
        <w:rPr>
          <w:b/>
          <w:bCs/>
        </w:rPr>
        <w:instrText xml:space="preserve"> \* MERGEFORMAT </w:instrText>
      </w:r>
      <w:r w:rsidRPr="0041311C">
        <w:rPr>
          <w:b/>
          <w:bCs/>
        </w:rPr>
      </w:r>
      <w:r w:rsidRPr="0041311C">
        <w:rPr>
          <w:b/>
          <w:bCs/>
        </w:rPr>
        <w:fldChar w:fldCharType="separate"/>
      </w:r>
      <w:r w:rsidR="00631423">
        <w:rPr>
          <w:rStyle w:val="Strong"/>
        </w:rPr>
        <w:t xml:space="preserve">Using existing </w:t>
      </w:r>
      <w:r w:rsidR="00631423" w:rsidRPr="00631423">
        <w:rPr>
          <w:b/>
          <w:bCs/>
        </w:rPr>
        <w:t>parameter-combinations of eType II codebook is sufficient to achieve good monitoring results</w:t>
      </w:r>
      <w:r w:rsidR="00631423" w:rsidRPr="00824993">
        <w:rPr>
          <w:rStyle w:val="Strong"/>
        </w:rPr>
        <w:t>.</w:t>
      </w:r>
      <w:r w:rsidRPr="0041311C">
        <w:rPr>
          <w:b/>
          <w:bCs/>
        </w:rPr>
        <w:fldChar w:fldCharType="end"/>
      </w:r>
    </w:p>
    <w:p w14:paraId="705FAE6B" w14:textId="5D7A7A0C" w:rsidR="0041311C" w:rsidRPr="0041311C" w:rsidRDefault="0041311C" w:rsidP="00A32F07">
      <w:pPr>
        <w:rPr>
          <w:b/>
          <w:bCs/>
        </w:rPr>
      </w:pPr>
      <w:r w:rsidRPr="0041311C">
        <w:rPr>
          <w:b/>
          <w:bCs/>
        </w:rPr>
        <w:fldChar w:fldCharType="begin"/>
      </w:r>
      <w:r w:rsidRPr="0041311C">
        <w:rPr>
          <w:b/>
          <w:bCs/>
        </w:rPr>
        <w:instrText xml:space="preserve"> REF _Ref189860459 \w \h </w:instrText>
      </w:r>
      <w:r>
        <w:rPr>
          <w:b/>
          <w:bCs/>
        </w:rPr>
        <w:instrText xml:space="preserve"> \* MERGEFORMAT </w:instrText>
      </w:r>
      <w:r w:rsidRPr="0041311C">
        <w:rPr>
          <w:b/>
          <w:bCs/>
        </w:rPr>
      </w:r>
      <w:r w:rsidRPr="0041311C">
        <w:rPr>
          <w:b/>
          <w:bCs/>
        </w:rPr>
        <w:fldChar w:fldCharType="separate"/>
      </w:r>
      <w:r w:rsidR="00631423">
        <w:rPr>
          <w:b/>
          <w:bCs/>
        </w:rPr>
        <w:t>Observation 20:</w:t>
      </w:r>
      <w:r w:rsidRPr="0041311C">
        <w:rPr>
          <w:b/>
          <w:bCs/>
        </w:rPr>
        <w:fldChar w:fldCharType="end"/>
      </w:r>
      <w:r w:rsidRPr="0041311C">
        <w:rPr>
          <w:b/>
          <w:bCs/>
        </w:rPr>
        <w:t xml:space="preserve"> </w:t>
      </w:r>
      <w:r w:rsidRPr="0041311C">
        <w:rPr>
          <w:b/>
          <w:bCs/>
        </w:rPr>
        <w:fldChar w:fldCharType="begin"/>
      </w:r>
      <w:r w:rsidRPr="0041311C">
        <w:rPr>
          <w:b/>
          <w:bCs/>
        </w:rPr>
        <w:instrText xml:space="preserve"> REF _Ref189860459 \h </w:instrText>
      </w:r>
      <w:r>
        <w:rPr>
          <w:b/>
          <w:bCs/>
        </w:rPr>
        <w:instrText xml:space="preserve"> \* MERGEFORMAT </w:instrText>
      </w:r>
      <w:r w:rsidRPr="0041311C">
        <w:rPr>
          <w:b/>
          <w:bCs/>
        </w:rPr>
      </w:r>
      <w:r w:rsidRPr="0041311C">
        <w:rPr>
          <w:b/>
          <w:bCs/>
        </w:rPr>
        <w:fldChar w:fldCharType="separate"/>
      </w:r>
      <w:r w:rsidR="00631423">
        <w:rPr>
          <w:rStyle w:val="Strong"/>
        </w:rPr>
        <w:t>UE side monitoring using SGCS estimator achieves similar monitoring results as those resulted by genie ground-truth and high-resolution eType II codebook.</w:t>
      </w:r>
      <w:r w:rsidRPr="0041311C">
        <w:rPr>
          <w:b/>
          <w:bCs/>
        </w:rPr>
        <w:fldChar w:fldCharType="end"/>
      </w:r>
    </w:p>
    <w:p w14:paraId="4E85B381" w14:textId="737A4BDE" w:rsidR="0041311C" w:rsidRPr="0041311C" w:rsidRDefault="0041311C" w:rsidP="00A32F07">
      <w:pPr>
        <w:rPr>
          <w:b/>
          <w:bCs/>
        </w:rPr>
      </w:pPr>
      <w:r w:rsidRPr="0041311C">
        <w:rPr>
          <w:b/>
          <w:bCs/>
        </w:rPr>
        <w:fldChar w:fldCharType="begin"/>
      </w:r>
      <w:r w:rsidRPr="0041311C">
        <w:rPr>
          <w:b/>
          <w:bCs/>
        </w:rPr>
        <w:instrText xml:space="preserve"> REF _Ref194072129 \w \h </w:instrText>
      </w:r>
      <w:r>
        <w:rPr>
          <w:b/>
          <w:bCs/>
        </w:rPr>
        <w:instrText xml:space="preserve"> \* MERGEFORMAT </w:instrText>
      </w:r>
      <w:r w:rsidRPr="0041311C">
        <w:rPr>
          <w:b/>
          <w:bCs/>
        </w:rPr>
      </w:r>
      <w:r w:rsidRPr="0041311C">
        <w:rPr>
          <w:b/>
          <w:bCs/>
        </w:rPr>
        <w:fldChar w:fldCharType="separate"/>
      </w:r>
      <w:r w:rsidR="00631423">
        <w:rPr>
          <w:b/>
          <w:bCs/>
        </w:rPr>
        <w:t>Observation 21:</w:t>
      </w:r>
      <w:r w:rsidRPr="0041311C">
        <w:rPr>
          <w:b/>
          <w:bCs/>
        </w:rPr>
        <w:fldChar w:fldCharType="end"/>
      </w:r>
      <w:r w:rsidRPr="0041311C">
        <w:rPr>
          <w:b/>
          <w:bCs/>
        </w:rPr>
        <w:t xml:space="preserve"> </w:t>
      </w:r>
      <w:r w:rsidRPr="0041311C">
        <w:rPr>
          <w:b/>
          <w:bCs/>
        </w:rPr>
        <w:fldChar w:fldCharType="begin"/>
      </w:r>
      <w:r w:rsidRPr="0041311C">
        <w:rPr>
          <w:b/>
          <w:bCs/>
        </w:rPr>
        <w:instrText xml:space="preserve"> REF _Ref194072129 \h </w:instrText>
      </w:r>
      <w:r>
        <w:rPr>
          <w:b/>
          <w:bCs/>
        </w:rPr>
        <w:instrText xml:space="preserve"> \* MERGEFORMAT </w:instrText>
      </w:r>
      <w:r w:rsidRPr="0041311C">
        <w:rPr>
          <w:b/>
          <w:bCs/>
        </w:rPr>
      </w:r>
      <w:r w:rsidRPr="0041311C">
        <w:rPr>
          <w:b/>
          <w:bCs/>
        </w:rPr>
        <w:fldChar w:fldCharType="separate"/>
      </w:r>
      <w:r w:rsidR="00631423" w:rsidRPr="00E53AE0">
        <w:rPr>
          <w:rStyle w:val="Strong"/>
        </w:rPr>
        <w:t>Quantization codebook for direction C should be standardized. For Direction A, same codebook can be adopted or NW side can exchange their proprietary codebook to the UE side along with the dataset / model parameter exchange.</w:t>
      </w:r>
      <w:r w:rsidRPr="0041311C">
        <w:rPr>
          <w:b/>
          <w:bCs/>
        </w:rPr>
        <w:fldChar w:fldCharType="end"/>
      </w:r>
    </w:p>
    <w:p w14:paraId="6C12585B" w14:textId="42C89052" w:rsidR="0041311C" w:rsidRPr="0041311C" w:rsidRDefault="0041311C" w:rsidP="00A32F07">
      <w:pPr>
        <w:rPr>
          <w:b/>
          <w:bCs/>
        </w:rPr>
      </w:pPr>
      <w:r w:rsidRPr="0041311C">
        <w:rPr>
          <w:b/>
          <w:bCs/>
        </w:rPr>
        <w:fldChar w:fldCharType="begin"/>
      </w:r>
      <w:r w:rsidRPr="0041311C">
        <w:rPr>
          <w:b/>
          <w:bCs/>
        </w:rPr>
        <w:instrText xml:space="preserve"> REF _Ref194072135 \w \h </w:instrText>
      </w:r>
      <w:r>
        <w:rPr>
          <w:b/>
          <w:bCs/>
        </w:rPr>
        <w:instrText xml:space="preserve"> \* MERGEFORMAT </w:instrText>
      </w:r>
      <w:r w:rsidRPr="0041311C">
        <w:rPr>
          <w:b/>
          <w:bCs/>
        </w:rPr>
      </w:r>
      <w:r w:rsidRPr="0041311C">
        <w:rPr>
          <w:b/>
          <w:bCs/>
        </w:rPr>
        <w:fldChar w:fldCharType="separate"/>
      </w:r>
      <w:r w:rsidR="00631423">
        <w:rPr>
          <w:b/>
          <w:bCs/>
        </w:rPr>
        <w:t>Observation 22:</w:t>
      </w:r>
      <w:r w:rsidRPr="0041311C">
        <w:rPr>
          <w:b/>
          <w:bCs/>
        </w:rPr>
        <w:fldChar w:fldCharType="end"/>
      </w:r>
      <w:r w:rsidRPr="0041311C">
        <w:rPr>
          <w:b/>
          <w:bCs/>
        </w:rPr>
        <w:t xml:space="preserve"> </w:t>
      </w:r>
      <w:r w:rsidRPr="0041311C">
        <w:rPr>
          <w:b/>
          <w:bCs/>
        </w:rPr>
        <w:fldChar w:fldCharType="begin"/>
      </w:r>
      <w:r w:rsidRPr="0041311C">
        <w:rPr>
          <w:b/>
          <w:bCs/>
        </w:rPr>
        <w:instrText xml:space="preserve"> REF _Ref194072135 \h </w:instrText>
      </w:r>
      <w:r>
        <w:rPr>
          <w:b/>
          <w:bCs/>
        </w:rPr>
        <w:instrText xml:space="preserve"> \* MERGEFORMAT </w:instrText>
      </w:r>
      <w:r w:rsidRPr="0041311C">
        <w:rPr>
          <w:b/>
          <w:bCs/>
        </w:rPr>
      </w:r>
      <w:r w:rsidRPr="0041311C">
        <w:rPr>
          <w:b/>
          <w:bCs/>
        </w:rPr>
        <w:fldChar w:fldCharType="separate"/>
      </w:r>
      <w:r w:rsidR="00631423" w:rsidRPr="00F6096D">
        <w:rPr>
          <w:rStyle w:val="Strong"/>
        </w:rPr>
        <w:t>pre-determined codebook achieves similar performance to learned codebook for SQ.</w:t>
      </w:r>
      <w:r w:rsidRPr="0041311C">
        <w:rPr>
          <w:b/>
          <w:bCs/>
        </w:rPr>
        <w:fldChar w:fldCharType="end"/>
      </w:r>
    </w:p>
    <w:p w14:paraId="47709B49" w14:textId="21304E6E" w:rsidR="005E64EC" w:rsidRDefault="0041311C" w:rsidP="00A32F07">
      <w:pPr>
        <w:rPr>
          <w:b/>
          <w:bCs/>
        </w:rPr>
      </w:pPr>
      <w:r w:rsidRPr="0041311C">
        <w:rPr>
          <w:b/>
          <w:bCs/>
        </w:rPr>
        <w:fldChar w:fldCharType="begin"/>
      </w:r>
      <w:r w:rsidRPr="0041311C">
        <w:rPr>
          <w:b/>
          <w:bCs/>
        </w:rPr>
        <w:instrText xml:space="preserve"> REF _Ref194072143 \w \h </w:instrText>
      </w:r>
      <w:r>
        <w:rPr>
          <w:b/>
          <w:bCs/>
        </w:rPr>
        <w:instrText xml:space="preserve"> \* MERGEFORMAT </w:instrText>
      </w:r>
      <w:r w:rsidRPr="0041311C">
        <w:rPr>
          <w:b/>
          <w:bCs/>
        </w:rPr>
      </w:r>
      <w:r w:rsidRPr="0041311C">
        <w:rPr>
          <w:b/>
          <w:bCs/>
        </w:rPr>
        <w:fldChar w:fldCharType="separate"/>
      </w:r>
      <w:r w:rsidR="00631423">
        <w:rPr>
          <w:b/>
          <w:bCs/>
        </w:rPr>
        <w:t>Observation 23:</w:t>
      </w:r>
      <w:r w:rsidRPr="0041311C">
        <w:rPr>
          <w:b/>
          <w:bCs/>
        </w:rPr>
        <w:fldChar w:fldCharType="end"/>
      </w:r>
      <w:r w:rsidRPr="0041311C">
        <w:rPr>
          <w:b/>
          <w:bCs/>
        </w:rPr>
        <w:t xml:space="preserve"> </w:t>
      </w:r>
      <w:r w:rsidRPr="0041311C">
        <w:rPr>
          <w:b/>
          <w:bCs/>
        </w:rPr>
        <w:fldChar w:fldCharType="begin"/>
      </w:r>
      <w:r w:rsidRPr="0041311C">
        <w:rPr>
          <w:b/>
          <w:bCs/>
        </w:rPr>
        <w:instrText xml:space="preserve"> REF _Ref194072143 \h </w:instrText>
      </w:r>
      <w:r>
        <w:rPr>
          <w:b/>
          <w:bCs/>
        </w:rPr>
        <w:instrText xml:space="preserve"> \* MERGEFORMAT </w:instrText>
      </w:r>
      <w:r w:rsidRPr="0041311C">
        <w:rPr>
          <w:b/>
          <w:bCs/>
        </w:rPr>
      </w:r>
      <w:r w:rsidRPr="0041311C">
        <w:rPr>
          <w:b/>
          <w:bCs/>
        </w:rPr>
        <w:fldChar w:fldCharType="separate"/>
      </w:r>
      <w:r w:rsidR="00631423" w:rsidRPr="00F6096D">
        <w:rPr>
          <w:rStyle w:val="Strong"/>
        </w:rPr>
        <w:t>For VQ, there is noticeable loss of pre-determined codebook compared to learned codebook as the VQ codebook should be designed specifically per data-distribution.</w:t>
      </w:r>
      <w:r w:rsidRPr="0041311C">
        <w:rPr>
          <w:b/>
          <w:bCs/>
        </w:rPr>
        <w:fldChar w:fldCharType="end"/>
      </w:r>
    </w:p>
    <w:p w14:paraId="75D21F68" w14:textId="658C1DC9" w:rsidR="00723A56" w:rsidRPr="00723A56" w:rsidRDefault="00723A56" w:rsidP="00723A56">
      <w:pPr>
        <w:rPr>
          <w:b/>
          <w:bCs/>
        </w:rPr>
      </w:pPr>
      <w:r w:rsidRPr="00723A56">
        <w:rPr>
          <w:b/>
          <w:bCs/>
        </w:rPr>
        <w:t>Observation 24:</w:t>
      </w:r>
      <w:r>
        <w:rPr>
          <w:b/>
          <w:bCs/>
        </w:rPr>
        <w:t xml:space="preserve"> </w:t>
      </w:r>
      <w:r w:rsidRPr="00723A56">
        <w:rPr>
          <w:b/>
          <w:bCs/>
        </w:rPr>
        <w:t>AIML inference may be performed at a dedicated AI engine (e.g., AI/ML accelerator) different from where non-AIML functionalities are executed.</w:t>
      </w:r>
    </w:p>
    <w:p w14:paraId="4720CB83" w14:textId="2CD44644" w:rsidR="001F614B" w:rsidRDefault="00723A56" w:rsidP="00723A56">
      <w:pPr>
        <w:rPr>
          <w:b/>
          <w:bCs/>
        </w:rPr>
      </w:pPr>
      <w:r w:rsidRPr="00723A56">
        <w:rPr>
          <w:b/>
          <w:bCs/>
        </w:rPr>
        <w:t>Observation 25:</w:t>
      </w:r>
      <w:r>
        <w:rPr>
          <w:b/>
          <w:bCs/>
        </w:rPr>
        <w:t xml:space="preserve"> </w:t>
      </w:r>
      <w:r w:rsidRPr="00723A56">
        <w:rPr>
          <w:b/>
          <w:bCs/>
        </w:rPr>
        <w:t>Different AM/ML functions may share a common AI engine. Timeline and processing criteria may be different for different use cases.</w:t>
      </w:r>
    </w:p>
    <w:p w14:paraId="1C9C0424" w14:textId="5237D651" w:rsidR="00631423" w:rsidRPr="00631423" w:rsidRDefault="00631423" w:rsidP="00631423">
      <w:r w:rsidRPr="00723A56">
        <w:rPr>
          <w:b/>
          <w:bCs/>
        </w:rPr>
        <w:lastRenderedPageBreak/>
        <w:t>Observation 2</w:t>
      </w:r>
      <w:r>
        <w:rPr>
          <w:b/>
          <w:bCs/>
        </w:rPr>
        <w:t>6</w:t>
      </w:r>
      <w:r w:rsidRPr="00723A56">
        <w:rPr>
          <w:b/>
          <w:bCs/>
        </w:rPr>
        <w:t>:</w:t>
      </w:r>
      <w:r>
        <w:rPr>
          <w:b/>
          <w:bCs/>
        </w:rPr>
        <w:t xml:space="preserve"> </w:t>
      </w:r>
      <w:r w:rsidRPr="00631423">
        <w:rPr>
          <w:b/>
          <w:bCs/>
        </w:rPr>
        <w:t>There may be high-end UEs which have independent hardware for AIML than legacy algorithms, and also low-end UEs which may use common hardware for AIML and legacy algorithms</w:t>
      </w:r>
      <w:r w:rsidRPr="00631423">
        <w:t>.</w:t>
      </w:r>
    </w:p>
    <w:p w14:paraId="2857A92E" w14:textId="3CACC616" w:rsidR="00631423" w:rsidRPr="00631423" w:rsidRDefault="00631423" w:rsidP="00631423">
      <w:r w:rsidRPr="00723A56">
        <w:rPr>
          <w:b/>
          <w:bCs/>
        </w:rPr>
        <w:t>Observation 2</w:t>
      </w:r>
      <w:r>
        <w:rPr>
          <w:b/>
          <w:bCs/>
        </w:rPr>
        <w:t>7</w:t>
      </w:r>
      <w:r w:rsidRPr="00723A56">
        <w:rPr>
          <w:b/>
          <w:bCs/>
        </w:rPr>
        <w:t>:</w:t>
      </w:r>
      <w:r>
        <w:rPr>
          <w:b/>
          <w:bCs/>
        </w:rPr>
        <w:t xml:space="preserve"> </w:t>
      </w:r>
      <w:r w:rsidRPr="00631423">
        <w:rPr>
          <w:b/>
          <w:bCs/>
        </w:rPr>
        <w:t>CSI processing units depends on the model complexity, which may vary significantly across different use cases such as beam management, CSI prediction and CSI compression</w:t>
      </w:r>
    </w:p>
    <w:p w14:paraId="7D58F796" w14:textId="62AEE034" w:rsidR="00723A56" w:rsidRPr="00723A56" w:rsidRDefault="00723A56" w:rsidP="00723A56">
      <w:pPr>
        <w:rPr>
          <w:b/>
          <w:bCs/>
        </w:rPr>
      </w:pPr>
      <w:r w:rsidRPr="00723A56">
        <w:rPr>
          <w:b/>
          <w:bCs/>
        </w:rPr>
        <w:t xml:space="preserve">Observation </w:t>
      </w:r>
      <w:r w:rsidR="00631423" w:rsidRPr="00723A56">
        <w:rPr>
          <w:b/>
          <w:bCs/>
        </w:rPr>
        <w:t>2</w:t>
      </w:r>
      <w:r w:rsidR="00631423">
        <w:rPr>
          <w:b/>
          <w:bCs/>
        </w:rPr>
        <w:t>8</w:t>
      </w:r>
      <w:r w:rsidRPr="00723A56">
        <w:rPr>
          <w:b/>
          <w:bCs/>
        </w:rPr>
        <w:t>:</w:t>
      </w:r>
      <w:r>
        <w:rPr>
          <w:b/>
          <w:bCs/>
        </w:rPr>
        <w:t xml:space="preserve"> </w:t>
      </w:r>
      <w:r w:rsidRPr="00723A56">
        <w:rPr>
          <w:b/>
          <w:bCs/>
        </w:rPr>
        <w:t>To enable implementation flexibility, the number of APUs for each AI/ML enabled CSI processing feature can be indicated via UE capability.</w:t>
      </w:r>
    </w:p>
    <w:p w14:paraId="6F7B4E30" w14:textId="1E392262" w:rsidR="009D1317" w:rsidRDefault="009D1317" w:rsidP="00A32F07">
      <w:r>
        <w:t>Based on the observations, we propose:</w:t>
      </w:r>
    </w:p>
    <w:p w14:paraId="450D48B7" w14:textId="3178FB0F" w:rsidR="006379E2" w:rsidRPr="002A5E4D" w:rsidRDefault="00A56023" w:rsidP="00A32F07">
      <w:pPr>
        <w:rPr>
          <w:b/>
          <w:bCs/>
        </w:rPr>
      </w:pPr>
      <w:r w:rsidRPr="002A5E4D">
        <w:rPr>
          <w:b/>
          <w:bCs/>
        </w:rPr>
        <w:fldChar w:fldCharType="begin"/>
      </w:r>
      <w:r w:rsidRPr="002A5E4D">
        <w:rPr>
          <w:b/>
          <w:bCs/>
        </w:rPr>
        <w:instrText xml:space="preserve"> REF _Ref194072326 \w \h </w:instrText>
      </w:r>
      <w:r w:rsidR="002A5E4D">
        <w:rPr>
          <w:b/>
          <w:bCs/>
        </w:rPr>
        <w:instrText xml:space="preserve"> \* MERGEFORMAT </w:instrText>
      </w:r>
      <w:r w:rsidRPr="002A5E4D">
        <w:rPr>
          <w:b/>
          <w:bCs/>
        </w:rPr>
      </w:r>
      <w:r w:rsidRPr="002A5E4D">
        <w:rPr>
          <w:b/>
          <w:bCs/>
        </w:rPr>
        <w:fldChar w:fldCharType="separate"/>
      </w:r>
      <w:r w:rsidR="00631423">
        <w:rPr>
          <w:b/>
          <w:bCs/>
        </w:rPr>
        <w:t>Proposal 1:</w:t>
      </w:r>
      <w:r w:rsidRPr="002A5E4D">
        <w:rPr>
          <w:b/>
          <w:bCs/>
        </w:rPr>
        <w:fldChar w:fldCharType="end"/>
      </w:r>
      <w:r w:rsidR="006379E2" w:rsidRPr="002A5E4D">
        <w:rPr>
          <w:b/>
          <w:bCs/>
        </w:rPr>
        <w:t xml:space="preserve"> </w:t>
      </w:r>
      <w:r w:rsidRPr="002A5E4D">
        <w:rPr>
          <w:b/>
          <w:bCs/>
        </w:rPr>
        <w:fldChar w:fldCharType="begin"/>
      </w:r>
      <w:r w:rsidRPr="002A5E4D">
        <w:rPr>
          <w:b/>
          <w:bCs/>
        </w:rPr>
        <w:instrText xml:space="preserve"> REF _Ref194072326 \h </w:instrText>
      </w:r>
      <w:r w:rsidR="002A5E4D">
        <w:rPr>
          <w:b/>
          <w:bCs/>
        </w:rPr>
        <w:instrText xml:space="preserve"> \* MERGEFORMAT </w:instrText>
      </w:r>
      <w:r w:rsidRPr="002A5E4D">
        <w:rPr>
          <w:b/>
          <w:bCs/>
        </w:rPr>
      </w:r>
      <w:r w:rsidRPr="002A5E4D">
        <w:rPr>
          <w:b/>
          <w:bCs/>
        </w:rPr>
        <w:fldChar w:fldCharType="separate"/>
      </w:r>
      <w:r w:rsidR="00631423" w:rsidRPr="00631423">
        <w:rPr>
          <w:b/>
          <w:bCs/>
        </w:rPr>
        <w:t>RAN1 should send LS to SA2 and SA5 to study other signalling approaches than using UE as relay (a.k.a., over-the-air approach).</w:t>
      </w:r>
      <w:r w:rsidRPr="002A5E4D">
        <w:rPr>
          <w:b/>
          <w:bCs/>
        </w:rPr>
        <w:fldChar w:fldCharType="end"/>
      </w:r>
    </w:p>
    <w:p w14:paraId="54397A79" w14:textId="17D5FBC1" w:rsidR="006379E2" w:rsidRPr="002A5E4D" w:rsidRDefault="00A56023" w:rsidP="00A32F07">
      <w:pPr>
        <w:rPr>
          <w:b/>
          <w:bCs/>
        </w:rPr>
      </w:pPr>
      <w:r w:rsidRPr="002A5E4D">
        <w:rPr>
          <w:b/>
          <w:bCs/>
        </w:rPr>
        <w:fldChar w:fldCharType="begin"/>
      </w:r>
      <w:r w:rsidRPr="002A5E4D">
        <w:rPr>
          <w:b/>
          <w:bCs/>
        </w:rPr>
        <w:instrText xml:space="preserve"> REF _Ref194072332 \w \h </w:instrText>
      </w:r>
      <w:r w:rsidR="002A5E4D">
        <w:rPr>
          <w:b/>
          <w:bCs/>
        </w:rPr>
        <w:instrText xml:space="preserve"> \* MERGEFORMAT </w:instrText>
      </w:r>
      <w:r w:rsidRPr="002A5E4D">
        <w:rPr>
          <w:b/>
          <w:bCs/>
        </w:rPr>
      </w:r>
      <w:r w:rsidRPr="002A5E4D">
        <w:rPr>
          <w:b/>
          <w:bCs/>
        </w:rPr>
        <w:fldChar w:fldCharType="separate"/>
      </w:r>
      <w:r w:rsidR="00631423">
        <w:rPr>
          <w:b/>
          <w:bCs/>
        </w:rPr>
        <w:t>Proposal 2:</w:t>
      </w:r>
      <w:r w:rsidRPr="002A5E4D">
        <w:rPr>
          <w:b/>
          <w:bCs/>
        </w:rPr>
        <w:fldChar w:fldCharType="end"/>
      </w:r>
      <w:r w:rsidR="006379E2" w:rsidRPr="002A5E4D">
        <w:rPr>
          <w:b/>
          <w:bCs/>
        </w:rPr>
        <w:t xml:space="preserve"> </w:t>
      </w:r>
      <w:r w:rsidRPr="002A5E4D">
        <w:rPr>
          <w:b/>
          <w:bCs/>
        </w:rPr>
        <w:fldChar w:fldCharType="begin"/>
      </w:r>
      <w:r w:rsidRPr="002A5E4D">
        <w:rPr>
          <w:b/>
          <w:bCs/>
        </w:rPr>
        <w:instrText xml:space="preserve"> REF _Ref194072332 \h </w:instrText>
      </w:r>
      <w:r w:rsidR="002A5E4D">
        <w:rPr>
          <w:b/>
          <w:bCs/>
        </w:rPr>
        <w:instrText xml:space="preserve"> \* MERGEFORMAT </w:instrText>
      </w:r>
      <w:r w:rsidRPr="002A5E4D">
        <w:rPr>
          <w:b/>
          <w:bCs/>
        </w:rPr>
      </w:r>
      <w:r w:rsidRPr="002A5E4D">
        <w:rPr>
          <w:b/>
          <w:bCs/>
        </w:rPr>
        <w:fldChar w:fldCharType="separate"/>
      </w:r>
      <w:r w:rsidR="00631423" w:rsidRPr="00631423">
        <w:rPr>
          <w:b/>
          <w:bCs/>
        </w:rPr>
        <w:t>Lack of agreed signalling solution in R19 should not be the gating factor blocking the normative work because proprietary signalling can be assumed as default option in the absence of standardized signalling.</w:t>
      </w:r>
      <w:r w:rsidRPr="002A5E4D">
        <w:rPr>
          <w:b/>
          <w:bCs/>
        </w:rPr>
        <w:fldChar w:fldCharType="end"/>
      </w:r>
    </w:p>
    <w:p w14:paraId="56F6705C" w14:textId="1C69D153" w:rsidR="006379E2" w:rsidRPr="002A5E4D" w:rsidRDefault="00A56023" w:rsidP="00A32F07">
      <w:pPr>
        <w:rPr>
          <w:b/>
          <w:bCs/>
        </w:rPr>
      </w:pPr>
      <w:r w:rsidRPr="002A5E4D">
        <w:rPr>
          <w:b/>
          <w:bCs/>
        </w:rPr>
        <w:fldChar w:fldCharType="begin"/>
      </w:r>
      <w:r w:rsidRPr="002A5E4D">
        <w:rPr>
          <w:b/>
          <w:bCs/>
        </w:rPr>
        <w:instrText xml:space="preserve"> REF _Ref194072339 \w \h </w:instrText>
      </w:r>
      <w:r w:rsidR="002A5E4D">
        <w:rPr>
          <w:b/>
          <w:bCs/>
        </w:rPr>
        <w:instrText xml:space="preserve"> \* MERGEFORMAT </w:instrText>
      </w:r>
      <w:r w:rsidRPr="002A5E4D">
        <w:rPr>
          <w:b/>
          <w:bCs/>
        </w:rPr>
      </w:r>
      <w:r w:rsidRPr="002A5E4D">
        <w:rPr>
          <w:b/>
          <w:bCs/>
        </w:rPr>
        <w:fldChar w:fldCharType="separate"/>
      </w:r>
      <w:r w:rsidR="00631423">
        <w:rPr>
          <w:b/>
          <w:bCs/>
        </w:rPr>
        <w:t>Proposal 3:</w:t>
      </w:r>
      <w:r w:rsidRPr="002A5E4D">
        <w:rPr>
          <w:b/>
          <w:bCs/>
        </w:rPr>
        <w:fldChar w:fldCharType="end"/>
      </w:r>
      <w:r w:rsidR="006379E2" w:rsidRPr="002A5E4D">
        <w:rPr>
          <w:b/>
          <w:bCs/>
        </w:rPr>
        <w:t xml:space="preserve"> </w:t>
      </w:r>
      <w:r w:rsidRPr="002A5E4D">
        <w:rPr>
          <w:b/>
          <w:bCs/>
        </w:rPr>
        <w:fldChar w:fldCharType="begin"/>
      </w:r>
      <w:r w:rsidRPr="002A5E4D">
        <w:rPr>
          <w:b/>
          <w:bCs/>
        </w:rPr>
        <w:instrText xml:space="preserve"> REF _Ref194072339 \h </w:instrText>
      </w:r>
      <w:r w:rsidR="002A5E4D">
        <w:rPr>
          <w:b/>
          <w:bCs/>
        </w:rPr>
        <w:instrText xml:space="preserve"> \* MERGEFORMAT </w:instrText>
      </w:r>
      <w:r w:rsidRPr="002A5E4D">
        <w:rPr>
          <w:b/>
          <w:bCs/>
        </w:rPr>
      </w:r>
      <w:r w:rsidRPr="002A5E4D">
        <w:rPr>
          <w:b/>
          <w:bCs/>
        </w:rPr>
        <w:fldChar w:fldCharType="separate"/>
      </w:r>
      <w:r w:rsidR="00631423" w:rsidRPr="00631423">
        <w:rPr>
          <w:b/>
          <w:bCs/>
        </w:rPr>
        <w:t>For inter-vendor collaboration, recommend sub-option 4-1, 3a-1 of Direction A and Direction C for normative work.</w:t>
      </w:r>
      <w:r w:rsidRPr="002A5E4D">
        <w:rPr>
          <w:b/>
          <w:bCs/>
        </w:rPr>
        <w:fldChar w:fldCharType="end"/>
      </w:r>
    </w:p>
    <w:p w14:paraId="3C0132A0" w14:textId="0D89EEC4" w:rsidR="002553E6" w:rsidRPr="002A5E4D" w:rsidRDefault="00A56023" w:rsidP="00A32F07">
      <w:pPr>
        <w:rPr>
          <w:b/>
          <w:bCs/>
        </w:rPr>
      </w:pPr>
      <w:r w:rsidRPr="002A5E4D">
        <w:rPr>
          <w:b/>
          <w:bCs/>
        </w:rPr>
        <w:fldChar w:fldCharType="begin"/>
      </w:r>
      <w:r w:rsidRPr="002A5E4D">
        <w:rPr>
          <w:b/>
          <w:bCs/>
        </w:rPr>
        <w:instrText xml:space="preserve"> REF _Ref194072345 \w \h </w:instrText>
      </w:r>
      <w:r w:rsidR="002A5E4D">
        <w:rPr>
          <w:b/>
          <w:bCs/>
        </w:rPr>
        <w:instrText xml:space="preserve"> \* MERGEFORMAT </w:instrText>
      </w:r>
      <w:r w:rsidRPr="002A5E4D">
        <w:rPr>
          <w:b/>
          <w:bCs/>
        </w:rPr>
      </w:r>
      <w:r w:rsidRPr="002A5E4D">
        <w:rPr>
          <w:b/>
          <w:bCs/>
        </w:rPr>
        <w:fldChar w:fldCharType="separate"/>
      </w:r>
      <w:r w:rsidR="00631423">
        <w:rPr>
          <w:b/>
          <w:bCs/>
        </w:rPr>
        <w:t>Proposal 4:</w:t>
      </w:r>
      <w:r w:rsidRPr="002A5E4D">
        <w:rPr>
          <w:b/>
          <w:bCs/>
        </w:rPr>
        <w:fldChar w:fldCharType="end"/>
      </w:r>
      <w:r w:rsidR="006379E2" w:rsidRPr="002A5E4D">
        <w:rPr>
          <w:b/>
          <w:bCs/>
        </w:rPr>
        <w:t xml:space="preserve"> </w:t>
      </w:r>
      <w:r w:rsidRPr="002A5E4D">
        <w:rPr>
          <w:b/>
          <w:bCs/>
        </w:rPr>
        <w:fldChar w:fldCharType="begin"/>
      </w:r>
      <w:r w:rsidRPr="002A5E4D">
        <w:rPr>
          <w:b/>
          <w:bCs/>
        </w:rPr>
        <w:instrText xml:space="preserve"> REF _Ref194072345 \h </w:instrText>
      </w:r>
      <w:r w:rsidR="002A5E4D">
        <w:rPr>
          <w:b/>
          <w:bCs/>
        </w:rPr>
        <w:instrText xml:space="preserve"> \* MERGEFORMAT </w:instrText>
      </w:r>
      <w:r w:rsidRPr="002A5E4D">
        <w:rPr>
          <w:b/>
          <w:bCs/>
        </w:rPr>
      </w:r>
      <w:r w:rsidRPr="002A5E4D">
        <w:rPr>
          <w:b/>
          <w:bCs/>
        </w:rPr>
        <w:fldChar w:fldCharType="separate"/>
      </w:r>
      <w:r w:rsidR="00631423" w:rsidRPr="00631423">
        <w:rPr>
          <w:b/>
          <w:bCs/>
        </w:rPr>
        <w:t>Model developed along Direction A and C will be identified with different IDs.</w:t>
      </w:r>
      <w:r w:rsidRPr="002A5E4D">
        <w:rPr>
          <w:b/>
          <w:bCs/>
        </w:rPr>
        <w:fldChar w:fldCharType="end"/>
      </w:r>
    </w:p>
    <w:p w14:paraId="40612075" w14:textId="77777777" w:rsidR="005477E1" w:rsidRPr="002A5E4D" w:rsidRDefault="005477E1" w:rsidP="004A2378">
      <w:pPr>
        <w:pStyle w:val="Proposal"/>
        <w:numPr>
          <w:ilvl w:val="0"/>
          <w:numId w:val="24"/>
        </w:numPr>
      </w:pPr>
      <w:r w:rsidRPr="002A5E4D">
        <w:t>ID0 is assigned to the model that is designed compatible to the specified model in RAN4.</w:t>
      </w:r>
    </w:p>
    <w:p w14:paraId="69270F61" w14:textId="77777777" w:rsidR="005477E1" w:rsidRPr="002A5E4D" w:rsidRDefault="005477E1" w:rsidP="004A2378">
      <w:pPr>
        <w:pStyle w:val="Proposal"/>
        <w:numPr>
          <w:ilvl w:val="0"/>
          <w:numId w:val="24"/>
        </w:numPr>
      </w:pPr>
      <w:r w:rsidRPr="002A5E4D">
        <w:t>ID1, …, etc assigned to the models designed via dataset / model parameter sharing.</w:t>
      </w:r>
    </w:p>
    <w:p w14:paraId="0F99302E" w14:textId="77777777" w:rsidR="005477E1" w:rsidRPr="002A5E4D" w:rsidRDefault="005477E1" w:rsidP="00A32F07">
      <w:pPr>
        <w:rPr>
          <w:b/>
          <w:bCs/>
        </w:rPr>
      </w:pPr>
    </w:p>
    <w:p w14:paraId="5BD88FC8" w14:textId="3F655529" w:rsidR="002553E6" w:rsidRPr="002A5E4D" w:rsidRDefault="006379E2" w:rsidP="00A32F07">
      <w:pPr>
        <w:rPr>
          <w:b/>
          <w:bCs/>
        </w:rPr>
      </w:pPr>
      <w:r w:rsidRPr="002A5E4D">
        <w:rPr>
          <w:b/>
          <w:bCs/>
        </w:rPr>
        <w:fldChar w:fldCharType="begin"/>
      </w:r>
      <w:r w:rsidRPr="002A5E4D">
        <w:rPr>
          <w:b/>
          <w:bCs/>
        </w:rPr>
        <w:instrText xml:space="preserve"> REF _Ref194072355 \w \h </w:instrText>
      </w:r>
      <w:r w:rsidR="002A5E4D">
        <w:rPr>
          <w:b/>
          <w:bCs/>
        </w:rPr>
        <w:instrText xml:space="preserve"> \* MERGEFORMAT </w:instrText>
      </w:r>
      <w:r w:rsidRPr="002A5E4D">
        <w:rPr>
          <w:b/>
          <w:bCs/>
        </w:rPr>
      </w:r>
      <w:r w:rsidRPr="002A5E4D">
        <w:rPr>
          <w:b/>
          <w:bCs/>
        </w:rPr>
        <w:fldChar w:fldCharType="separate"/>
      </w:r>
      <w:r w:rsidR="00631423">
        <w:rPr>
          <w:b/>
          <w:bCs/>
        </w:rPr>
        <w:t>Proposal 5:</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_Ref194072355 \h </w:instrText>
      </w:r>
      <w:r w:rsidR="002A5E4D">
        <w:rPr>
          <w:b/>
          <w:bCs/>
        </w:rPr>
        <w:instrText xml:space="preserve"> \* MERGEFORMAT </w:instrText>
      </w:r>
      <w:r w:rsidRPr="002A5E4D">
        <w:rPr>
          <w:b/>
          <w:bCs/>
        </w:rPr>
      </w:r>
      <w:r w:rsidRPr="002A5E4D">
        <w:rPr>
          <w:b/>
          <w:bCs/>
        </w:rPr>
        <w:fldChar w:fldCharType="separate"/>
      </w:r>
      <w:r w:rsidR="00631423" w:rsidRPr="00631423">
        <w:rPr>
          <w:b/>
          <w:bCs/>
        </w:rPr>
        <w:t>Capture observation 5-7 into TR.</w:t>
      </w:r>
      <w:r w:rsidRPr="002A5E4D">
        <w:rPr>
          <w:b/>
          <w:bCs/>
        </w:rPr>
        <w:fldChar w:fldCharType="end"/>
      </w:r>
    </w:p>
    <w:p w14:paraId="0D4D873F" w14:textId="435089C3" w:rsidR="002553E6" w:rsidRPr="002A5E4D" w:rsidRDefault="006379E2" w:rsidP="00A32F07">
      <w:pPr>
        <w:rPr>
          <w:b/>
          <w:bCs/>
        </w:rPr>
      </w:pPr>
      <w:r w:rsidRPr="002A5E4D">
        <w:rPr>
          <w:b/>
          <w:bCs/>
        </w:rPr>
        <w:fldChar w:fldCharType="begin"/>
      </w:r>
      <w:r w:rsidRPr="002A5E4D">
        <w:rPr>
          <w:b/>
          <w:bCs/>
        </w:rPr>
        <w:instrText xml:space="preserve"> REF _Ref194072362 \w \h </w:instrText>
      </w:r>
      <w:r w:rsidR="002A5E4D">
        <w:rPr>
          <w:b/>
          <w:bCs/>
        </w:rPr>
        <w:instrText xml:space="preserve"> \* MERGEFORMAT </w:instrText>
      </w:r>
      <w:r w:rsidRPr="002A5E4D">
        <w:rPr>
          <w:b/>
          <w:bCs/>
        </w:rPr>
      </w:r>
      <w:r w:rsidRPr="002A5E4D">
        <w:rPr>
          <w:b/>
          <w:bCs/>
        </w:rPr>
        <w:fldChar w:fldCharType="separate"/>
      </w:r>
      <w:r w:rsidR="00631423">
        <w:rPr>
          <w:b/>
          <w:bCs/>
        </w:rPr>
        <w:t>Proposal 6:</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_Ref194072362 \h </w:instrText>
      </w:r>
      <w:r w:rsidR="002A5E4D">
        <w:rPr>
          <w:b/>
          <w:bCs/>
        </w:rPr>
        <w:instrText xml:space="preserve"> \* MERGEFORMAT </w:instrText>
      </w:r>
      <w:r w:rsidRPr="002A5E4D">
        <w:rPr>
          <w:b/>
          <w:bCs/>
        </w:rPr>
      </w:r>
      <w:r w:rsidRPr="002A5E4D">
        <w:rPr>
          <w:b/>
          <w:bCs/>
        </w:rPr>
        <w:fldChar w:fldCharType="separate"/>
      </w:r>
      <w:r w:rsidR="00631423" w:rsidRPr="00631423">
        <w:rPr>
          <w:b/>
          <w:bCs/>
        </w:rPr>
        <w:t>Consider transformer-based model structure with positional embedding followed by series of transformer blocks</w:t>
      </w:r>
      <w:r w:rsidRPr="002A5E4D">
        <w:rPr>
          <w:b/>
          <w:bCs/>
        </w:rPr>
        <w:fldChar w:fldCharType="end"/>
      </w:r>
    </w:p>
    <w:p w14:paraId="64A0E4E2" w14:textId="77777777" w:rsidR="00477B2C" w:rsidRPr="002A5E4D" w:rsidRDefault="00477B2C" w:rsidP="004A2378">
      <w:pPr>
        <w:pStyle w:val="Proposal"/>
        <w:numPr>
          <w:ilvl w:val="0"/>
          <w:numId w:val="15"/>
        </w:numPr>
      </w:pPr>
      <w:r w:rsidRPr="002A5E4D">
        <w:t>The hyper-parameters include number of transformer blocks = 6, dimension of transformer block = 64, number of attention heads = 8, dimension of attention head = 8.</w:t>
      </w:r>
    </w:p>
    <w:p w14:paraId="0B79ABB7" w14:textId="77777777" w:rsidR="00477B2C" w:rsidRPr="002A5E4D" w:rsidRDefault="00477B2C" w:rsidP="004A2378">
      <w:pPr>
        <w:pStyle w:val="Proposal"/>
        <w:numPr>
          <w:ilvl w:val="0"/>
          <w:numId w:val="15"/>
        </w:numPr>
      </w:pPr>
      <w:r w:rsidRPr="002A5E4D">
        <w:t>The size of the positional embedding is based on max number of subbands (19) and dimension of the transformer (64)</w:t>
      </w:r>
    </w:p>
    <w:p w14:paraId="16C0883F" w14:textId="402B2C7C" w:rsidR="002553E6" w:rsidRPr="002A5E4D" w:rsidRDefault="006379E2" w:rsidP="00A32F07">
      <w:pPr>
        <w:rPr>
          <w:b/>
          <w:bCs/>
        </w:rPr>
      </w:pPr>
      <w:r w:rsidRPr="002A5E4D">
        <w:rPr>
          <w:b/>
          <w:bCs/>
        </w:rPr>
        <w:fldChar w:fldCharType="begin"/>
      </w:r>
      <w:r w:rsidRPr="002A5E4D">
        <w:rPr>
          <w:b/>
          <w:bCs/>
        </w:rPr>
        <w:instrText xml:space="preserve"> REF _Ref194072368 \w \h </w:instrText>
      </w:r>
      <w:r w:rsidR="002A5E4D">
        <w:rPr>
          <w:b/>
          <w:bCs/>
        </w:rPr>
        <w:instrText xml:space="preserve"> \* MERGEFORMAT </w:instrText>
      </w:r>
      <w:r w:rsidRPr="002A5E4D">
        <w:rPr>
          <w:b/>
          <w:bCs/>
        </w:rPr>
      </w:r>
      <w:r w:rsidRPr="002A5E4D">
        <w:rPr>
          <w:b/>
          <w:bCs/>
        </w:rPr>
        <w:fldChar w:fldCharType="separate"/>
      </w:r>
      <w:r w:rsidR="00631423">
        <w:rPr>
          <w:b/>
          <w:bCs/>
        </w:rPr>
        <w:t>Proposal 7:</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_Ref194072368 \h </w:instrText>
      </w:r>
      <w:r w:rsidR="002A5E4D">
        <w:rPr>
          <w:b/>
          <w:bCs/>
        </w:rPr>
        <w:instrText xml:space="preserve"> \* MERGEFORMAT </w:instrText>
      </w:r>
      <w:r w:rsidRPr="002A5E4D">
        <w:rPr>
          <w:b/>
          <w:bCs/>
        </w:rPr>
      </w:r>
      <w:r w:rsidRPr="002A5E4D">
        <w:rPr>
          <w:b/>
          <w:bCs/>
        </w:rPr>
        <w:fldChar w:fldCharType="separate"/>
      </w:r>
      <w:r w:rsidR="00631423" w:rsidRPr="00631423">
        <w:rPr>
          <w:b/>
          <w:bCs/>
        </w:rPr>
        <w:t>Recommend following methods for model structure scalability</w:t>
      </w:r>
      <w:r w:rsidRPr="002A5E4D">
        <w:rPr>
          <w:b/>
          <w:bCs/>
        </w:rPr>
        <w:fldChar w:fldCharType="end"/>
      </w:r>
    </w:p>
    <w:p w14:paraId="4AD13355" w14:textId="77777777" w:rsidR="00477B2C" w:rsidRPr="002A5E4D" w:rsidRDefault="00477B2C" w:rsidP="004A2378">
      <w:pPr>
        <w:pStyle w:val="Proposal"/>
        <w:numPr>
          <w:ilvl w:val="0"/>
          <w:numId w:val="16"/>
        </w:numPr>
      </w:pPr>
      <w:r w:rsidRPr="002A5E4D">
        <w:t>For tokenization, consider subband as token and antenna port domain as feature dimension</w:t>
      </w:r>
    </w:p>
    <w:p w14:paraId="56AB18FF" w14:textId="77777777" w:rsidR="00477B2C" w:rsidRPr="002A5E4D" w:rsidRDefault="00477B2C" w:rsidP="004A2378">
      <w:pPr>
        <w:pStyle w:val="Proposal"/>
        <w:numPr>
          <w:ilvl w:val="0"/>
          <w:numId w:val="16"/>
        </w:numPr>
      </w:pPr>
      <w:r w:rsidRPr="002A5E4D">
        <w:t>To scale with antenna port configuration, employ specific linear embedding layers with zero-padding prior to the positional embedding</w:t>
      </w:r>
    </w:p>
    <w:p w14:paraId="7CEAD5A9" w14:textId="77777777" w:rsidR="00477B2C" w:rsidRPr="002A5E4D" w:rsidRDefault="00477B2C" w:rsidP="004A2378">
      <w:pPr>
        <w:pStyle w:val="Proposal"/>
        <w:numPr>
          <w:ilvl w:val="0"/>
          <w:numId w:val="16"/>
        </w:numPr>
      </w:pPr>
      <w:r w:rsidRPr="002A5E4D">
        <w:t>To scale with subband configuration, employ respective entries of positional embedding and perform zero-padding to the transformer output based on subband indices</w:t>
      </w:r>
    </w:p>
    <w:p w14:paraId="5813AB3B" w14:textId="77777777" w:rsidR="00477B2C" w:rsidRPr="002A5E4D" w:rsidRDefault="00477B2C" w:rsidP="004A2378">
      <w:pPr>
        <w:pStyle w:val="Proposal"/>
        <w:numPr>
          <w:ilvl w:val="0"/>
          <w:numId w:val="16"/>
        </w:numPr>
      </w:pPr>
      <w:r w:rsidRPr="002A5E4D">
        <w:t>To scale with payload configuration, employ specific linear compression layer and specific vector quantization after the transformer blocks</w:t>
      </w:r>
    </w:p>
    <w:p w14:paraId="0D2D4050" w14:textId="3497606A" w:rsidR="002553E6" w:rsidRPr="002A5E4D" w:rsidRDefault="006379E2" w:rsidP="00A32F07">
      <w:pPr>
        <w:rPr>
          <w:b/>
          <w:bCs/>
        </w:rPr>
      </w:pPr>
      <w:r w:rsidRPr="002A5E4D">
        <w:rPr>
          <w:b/>
          <w:bCs/>
        </w:rPr>
        <w:fldChar w:fldCharType="begin"/>
      </w:r>
      <w:r w:rsidRPr="002A5E4D">
        <w:rPr>
          <w:b/>
          <w:bCs/>
        </w:rPr>
        <w:instrText xml:space="preserve"> REF _Ref194072377 \w \h </w:instrText>
      </w:r>
      <w:r w:rsidR="002A5E4D">
        <w:rPr>
          <w:b/>
          <w:bCs/>
        </w:rPr>
        <w:instrText xml:space="preserve"> \* MERGEFORMAT </w:instrText>
      </w:r>
      <w:r w:rsidRPr="002A5E4D">
        <w:rPr>
          <w:b/>
          <w:bCs/>
        </w:rPr>
      </w:r>
      <w:r w:rsidRPr="002A5E4D">
        <w:rPr>
          <w:b/>
          <w:bCs/>
        </w:rPr>
        <w:fldChar w:fldCharType="separate"/>
      </w:r>
      <w:r w:rsidR="00631423">
        <w:rPr>
          <w:b/>
          <w:bCs/>
        </w:rPr>
        <w:t>Proposal 8:</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_Ref194072377 \h </w:instrText>
      </w:r>
      <w:r w:rsidR="002A5E4D">
        <w:rPr>
          <w:b/>
          <w:bCs/>
        </w:rPr>
        <w:instrText xml:space="preserve"> \* MERGEFORMAT </w:instrText>
      </w:r>
      <w:r w:rsidRPr="002A5E4D">
        <w:rPr>
          <w:b/>
          <w:bCs/>
        </w:rPr>
      </w:r>
      <w:r w:rsidRPr="002A5E4D">
        <w:rPr>
          <w:b/>
          <w:bCs/>
        </w:rPr>
        <w:fldChar w:fldCharType="separate"/>
      </w:r>
      <w:r w:rsidR="00631423" w:rsidRPr="00631423">
        <w:rPr>
          <w:b/>
          <w:bCs/>
        </w:rPr>
        <w:t>Consider layer-common and rank common (Option 3-1) structure for CSI generation model and/or CSI reconstruction model for specified structures. Layer-common (Option 3-1) or layer-specific (Option 2-1) parameters can be upto vendor’s implementation choice.</w:t>
      </w:r>
      <w:r w:rsidRPr="002A5E4D">
        <w:rPr>
          <w:b/>
          <w:bCs/>
        </w:rPr>
        <w:fldChar w:fldCharType="end"/>
      </w:r>
    </w:p>
    <w:p w14:paraId="6FCE7AD8" w14:textId="77777777" w:rsidR="00477B2C" w:rsidRPr="002A5E4D" w:rsidRDefault="00477B2C" w:rsidP="004A2378">
      <w:pPr>
        <w:pStyle w:val="Proposal"/>
        <w:numPr>
          <w:ilvl w:val="0"/>
          <w:numId w:val="5"/>
        </w:numPr>
      </w:pPr>
      <w:r w:rsidRPr="002A5E4D">
        <w:lastRenderedPageBreak/>
        <w:t xml:space="preserve">Note: </w:t>
      </w:r>
      <w:r w:rsidRPr="002A5E4D">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5B44D4F2" w14:textId="64639D0E" w:rsidR="002553E6" w:rsidRPr="002A5E4D" w:rsidRDefault="006379E2" w:rsidP="00A32F07">
      <w:pPr>
        <w:rPr>
          <w:b/>
          <w:bCs/>
        </w:rPr>
      </w:pPr>
      <w:r w:rsidRPr="002A5E4D">
        <w:rPr>
          <w:b/>
          <w:bCs/>
        </w:rPr>
        <w:fldChar w:fldCharType="begin"/>
      </w:r>
      <w:r w:rsidRPr="002A5E4D">
        <w:rPr>
          <w:b/>
          <w:bCs/>
        </w:rPr>
        <w:instrText xml:space="preserve"> REF _Ref194072385 \w \h </w:instrText>
      </w:r>
      <w:r w:rsidR="002A5E4D">
        <w:rPr>
          <w:b/>
          <w:bCs/>
        </w:rPr>
        <w:instrText xml:space="preserve"> \* MERGEFORMAT </w:instrText>
      </w:r>
      <w:r w:rsidRPr="002A5E4D">
        <w:rPr>
          <w:b/>
          <w:bCs/>
        </w:rPr>
      </w:r>
      <w:r w:rsidRPr="002A5E4D">
        <w:rPr>
          <w:b/>
          <w:bCs/>
        </w:rPr>
        <w:fldChar w:fldCharType="separate"/>
      </w:r>
      <w:r w:rsidR="00631423">
        <w:rPr>
          <w:b/>
          <w:bCs/>
        </w:rPr>
        <w:t>Proposal 9:</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_Ref194072385 \h </w:instrText>
      </w:r>
      <w:r w:rsidR="002A5E4D">
        <w:rPr>
          <w:b/>
          <w:bCs/>
        </w:rPr>
        <w:instrText xml:space="preserve"> \* MERGEFORMAT </w:instrText>
      </w:r>
      <w:r w:rsidRPr="002A5E4D">
        <w:rPr>
          <w:b/>
          <w:bCs/>
        </w:rPr>
      </w:r>
      <w:r w:rsidRPr="002A5E4D">
        <w:rPr>
          <w:b/>
          <w:bCs/>
        </w:rPr>
        <w:fldChar w:fldCharType="separate"/>
      </w:r>
      <w:r w:rsidR="00631423" w:rsidRPr="00631423">
        <w:rPr>
          <w:b/>
          <w:bCs/>
        </w:rPr>
        <w:t>Complexity reduction is possible in the Transformer-based design with spatial-frequency domain input.</w:t>
      </w:r>
      <w:r w:rsidRPr="002A5E4D">
        <w:rPr>
          <w:b/>
          <w:bCs/>
        </w:rPr>
        <w:fldChar w:fldCharType="end"/>
      </w:r>
    </w:p>
    <w:p w14:paraId="478F1E0C" w14:textId="2A94E325" w:rsidR="002553E6" w:rsidRPr="002A5E4D" w:rsidRDefault="006379E2" w:rsidP="00A32F07">
      <w:pPr>
        <w:rPr>
          <w:b/>
          <w:bCs/>
        </w:rPr>
      </w:pPr>
      <w:r w:rsidRPr="002A5E4D">
        <w:rPr>
          <w:b/>
          <w:bCs/>
        </w:rPr>
        <w:fldChar w:fldCharType="begin"/>
      </w:r>
      <w:r w:rsidRPr="002A5E4D">
        <w:rPr>
          <w:b/>
          <w:bCs/>
        </w:rPr>
        <w:instrText xml:space="preserve"> REF _Ref194072391 \w \h </w:instrText>
      </w:r>
      <w:r w:rsidR="002A5E4D">
        <w:rPr>
          <w:b/>
          <w:bCs/>
        </w:rPr>
        <w:instrText xml:space="preserve"> \* MERGEFORMAT </w:instrText>
      </w:r>
      <w:r w:rsidRPr="002A5E4D">
        <w:rPr>
          <w:b/>
          <w:bCs/>
        </w:rPr>
      </w:r>
      <w:r w:rsidRPr="002A5E4D">
        <w:rPr>
          <w:b/>
          <w:bCs/>
        </w:rPr>
        <w:fldChar w:fldCharType="separate"/>
      </w:r>
      <w:r w:rsidR="00631423">
        <w:rPr>
          <w:b/>
          <w:bCs/>
        </w:rPr>
        <w:t>Proposal 10:</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_Ref194072391 \h </w:instrText>
      </w:r>
      <w:r w:rsidR="002A5E4D">
        <w:rPr>
          <w:b/>
          <w:bCs/>
        </w:rPr>
        <w:instrText xml:space="preserve"> \* MERGEFORMAT </w:instrText>
      </w:r>
      <w:r w:rsidRPr="002A5E4D">
        <w:rPr>
          <w:b/>
          <w:bCs/>
        </w:rPr>
      </w:r>
      <w:r w:rsidRPr="002A5E4D">
        <w:rPr>
          <w:b/>
          <w:bCs/>
        </w:rPr>
        <w:fldChar w:fldCharType="separate"/>
      </w:r>
      <w:r w:rsidR="00631423" w:rsidRPr="00631423">
        <w:rPr>
          <w:b/>
          <w:bCs/>
        </w:rPr>
        <w:t>Complexity reduction in spatial-frequency domain should be prioritized as it has better complexity/performance trade-off than using angular-delay domain as input.</w:t>
      </w:r>
      <w:r w:rsidRPr="002A5E4D">
        <w:rPr>
          <w:b/>
          <w:bCs/>
        </w:rPr>
        <w:fldChar w:fldCharType="end"/>
      </w:r>
    </w:p>
    <w:p w14:paraId="3F5B300B" w14:textId="6397C3F2" w:rsidR="002553E6" w:rsidRPr="002A5E4D" w:rsidRDefault="006379E2" w:rsidP="00A32F07">
      <w:pPr>
        <w:rPr>
          <w:b/>
          <w:bCs/>
        </w:rPr>
      </w:pPr>
      <w:r w:rsidRPr="002A5E4D">
        <w:rPr>
          <w:b/>
          <w:bCs/>
        </w:rPr>
        <w:fldChar w:fldCharType="begin"/>
      </w:r>
      <w:r w:rsidRPr="002A5E4D">
        <w:rPr>
          <w:b/>
          <w:bCs/>
        </w:rPr>
        <w:instrText xml:space="preserve"> REF _Ref194072401 \w \h </w:instrText>
      </w:r>
      <w:r w:rsidR="002A5E4D">
        <w:rPr>
          <w:b/>
          <w:bCs/>
        </w:rPr>
        <w:instrText xml:space="preserve"> \* MERGEFORMAT </w:instrText>
      </w:r>
      <w:r w:rsidRPr="002A5E4D">
        <w:rPr>
          <w:b/>
          <w:bCs/>
        </w:rPr>
      </w:r>
      <w:r w:rsidRPr="002A5E4D">
        <w:rPr>
          <w:b/>
          <w:bCs/>
        </w:rPr>
        <w:fldChar w:fldCharType="separate"/>
      </w:r>
      <w:r w:rsidR="00631423">
        <w:rPr>
          <w:b/>
          <w:bCs/>
        </w:rPr>
        <w:t>Proposal 11:</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_Ref194072401 \h </w:instrText>
      </w:r>
      <w:r w:rsidR="002A5E4D">
        <w:rPr>
          <w:b/>
          <w:bCs/>
        </w:rPr>
        <w:instrText xml:space="preserve"> \* MERGEFORMAT </w:instrText>
      </w:r>
      <w:r w:rsidRPr="002A5E4D">
        <w:rPr>
          <w:b/>
          <w:bCs/>
        </w:rPr>
      </w:r>
      <w:r w:rsidRPr="002A5E4D">
        <w:rPr>
          <w:b/>
          <w:bCs/>
        </w:rPr>
        <w:fldChar w:fldCharType="separate"/>
      </w:r>
      <w:r w:rsidR="00631423" w:rsidRPr="00631423">
        <w:rPr>
          <w:b/>
          <w:bCs/>
        </w:rPr>
        <w:t>Capture observation 9-12 in the TR.</w:t>
      </w:r>
      <w:r w:rsidRPr="002A5E4D">
        <w:rPr>
          <w:b/>
          <w:bCs/>
        </w:rPr>
        <w:fldChar w:fldCharType="end"/>
      </w:r>
    </w:p>
    <w:p w14:paraId="356EB622" w14:textId="04D52F18" w:rsidR="002553E6" w:rsidRPr="002A5E4D" w:rsidRDefault="006379E2" w:rsidP="00A32F07">
      <w:pPr>
        <w:rPr>
          <w:b/>
          <w:bCs/>
        </w:rPr>
      </w:pPr>
      <w:r w:rsidRPr="002A5E4D">
        <w:rPr>
          <w:b/>
          <w:bCs/>
        </w:rPr>
        <w:fldChar w:fldCharType="begin"/>
      </w:r>
      <w:r w:rsidRPr="002A5E4D">
        <w:rPr>
          <w:b/>
          <w:bCs/>
        </w:rPr>
        <w:instrText xml:space="preserve"> REF _Ref194072409 \w \h </w:instrText>
      </w:r>
      <w:r w:rsidR="002A5E4D">
        <w:rPr>
          <w:b/>
          <w:bCs/>
        </w:rPr>
        <w:instrText xml:space="preserve"> \* MERGEFORMAT </w:instrText>
      </w:r>
      <w:r w:rsidRPr="002A5E4D">
        <w:rPr>
          <w:b/>
          <w:bCs/>
        </w:rPr>
      </w:r>
      <w:r w:rsidRPr="002A5E4D">
        <w:rPr>
          <w:b/>
          <w:bCs/>
        </w:rPr>
        <w:fldChar w:fldCharType="separate"/>
      </w:r>
      <w:r w:rsidR="00631423">
        <w:rPr>
          <w:b/>
          <w:bCs/>
        </w:rPr>
        <w:t>Proposal 12:</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_Ref194072409 \h </w:instrText>
      </w:r>
      <w:r w:rsidR="002A5E4D">
        <w:rPr>
          <w:b/>
          <w:bCs/>
        </w:rPr>
        <w:instrText xml:space="preserve"> \* MERGEFORMAT </w:instrText>
      </w:r>
      <w:r w:rsidRPr="002A5E4D">
        <w:rPr>
          <w:b/>
          <w:bCs/>
        </w:rPr>
      </w:r>
      <w:r w:rsidRPr="002A5E4D">
        <w:rPr>
          <w:b/>
          <w:bCs/>
        </w:rPr>
        <w:fldChar w:fldCharType="separate"/>
      </w:r>
      <w:r w:rsidR="00631423" w:rsidRPr="00631423">
        <w:rPr>
          <w:b/>
          <w:bCs/>
        </w:rPr>
        <w:t>Any standardized performance monitoring for two-sided AIML CSF should require additional capability than the feature itself.</w:t>
      </w:r>
      <w:r w:rsidRPr="002A5E4D">
        <w:rPr>
          <w:b/>
          <w:bCs/>
        </w:rPr>
        <w:fldChar w:fldCharType="end"/>
      </w:r>
    </w:p>
    <w:p w14:paraId="4C898150" w14:textId="1AAA9ADB" w:rsidR="002553E6" w:rsidRPr="002A5E4D" w:rsidRDefault="006379E2" w:rsidP="00A32F07">
      <w:pPr>
        <w:rPr>
          <w:b/>
          <w:bCs/>
        </w:rPr>
      </w:pPr>
      <w:r w:rsidRPr="002A5E4D">
        <w:rPr>
          <w:b/>
          <w:bCs/>
        </w:rPr>
        <w:fldChar w:fldCharType="begin"/>
      </w:r>
      <w:r w:rsidRPr="002A5E4D">
        <w:rPr>
          <w:b/>
          <w:bCs/>
        </w:rPr>
        <w:instrText xml:space="preserve"> REF _Ref194072416 \w \h </w:instrText>
      </w:r>
      <w:r w:rsidR="002A5E4D">
        <w:rPr>
          <w:b/>
          <w:bCs/>
        </w:rPr>
        <w:instrText xml:space="preserve"> \* MERGEFORMAT </w:instrText>
      </w:r>
      <w:r w:rsidRPr="002A5E4D">
        <w:rPr>
          <w:b/>
          <w:bCs/>
        </w:rPr>
      </w:r>
      <w:r w:rsidRPr="002A5E4D">
        <w:rPr>
          <w:b/>
          <w:bCs/>
        </w:rPr>
        <w:fldChar w:fldCharType="separate"/>
      </w:r>
      <w:r w:rsidR="00631423">
        <w:rPr>
          <w:b/>
          <w:bCs/>
        </w:rPr>
        <w:t>Proposal 13:</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_Ref194072416 \h </w:instrText>
      </w:r>
      <w:r w:rsidR="002A5E4D">
        <w:rPr>
          <w:b/>
          <w:bCs/>
        </w:rPr>
        <w:instrText xml:space="preserve"> \* MERGEFORMAT </w:instrText>
      </w:r>
      <w:r w:rsidRPr="002A5E4D">
        <w:rPr>
          <w:b/>
          <w:bCs/>
        </w:rPr>
      </w:r>
      <w:r w:rsidRPr="002A5E4D">
        <w:rPr>
          <w:b/>
          <w:bCs/>
        </w:rPr>
        <w:fldChar w:fldCharType="separate"/>
      </w:r>
      <w:r w:rsidR="00631423" w:rsidRPr="00631423">
        <w:rPr>
          <w:b/>
          <w:bCs/>
        </w:rPr>
        <w:t>For NW side performance monitoring, additional UE capability includes</w:t>
      </w:r>
      <w:r w:rsidRPr="002A5E4D">
        <w:rPr>
          <w:b/>
          <w:bCs/>
        </w:rPr>
        <w:fldChar w:fldCharType="end"/>
      </w:r>
    </w:p>
    <w:p w14:paraId="113FAE81" w14:textId="77777777" w:rsidR="002A5E4D" w:rsidRPr="002A5E4D" w:rsidRDefault="002A5E4D" w:rsidP="004A2378">
      <w:pPr>
        <w:pStyle w:val="Proposal"/>
        <w:numPr>
          <w:ilvl w:val="0"/>
          <w:numId w:val="20"/>
        </w:numPr>
      </w:pPr>
      <w:r w:rsidRPr="002A5E4D">
        <w:t>Concurrent processing of two-sided AIML CSF and non-AI CSI codebooks</w:t>
      </w:r>
    </w:p>
    <w:p w14:paraId="5316580A" w14:textId="77777777" w:rsidR="002A5E4D" w:rsidRPr="002A5E4D" w:rsidRDefault="002A5E4D" w:rsidP="004A2378">
      <w:pPr>
        <w:pStyle w:val="Proposal"/>
        <w:numPr>
          <w:ilvl w:val="0"/>
          <w:numId w:val="20"/>
        </w:numPr>
      </w:pPr>
      <w:r w:rsidRPr="002A5E4D">
        <w:t>Capability for supporting eType II CSI codebook</w:t>
      </w:r>
    </w:p>
    <w:p w14:paraId="1B3C54EC" w14:textId="77777777" w:rsidR="002A5E4D" w:rsidRPr="002A5E4D" w:rsidRDefault="002A5E4D" w:rsidP="004A2378">
      <w:pPr>
        <w:pStyle w:val="Proposal"/>
        <w:numPr>
          <w:ilvl w:val="1"/>
          <w:numId w:val="20"/>
        </w:numPr>
      </w:pPr>
      <w:r w:rsidRPr="002A5E4D">
        <w:t xml:space="preserve">If higher-resolution eType II parameter combination is needed, it should be discussed and specified in the R20 NR MIMO agenda.  </w:t>
      </w:r>
    </w:p>
    <w:p w14:paraId="74929AAD" w14:textId="77777777" w:rsidR="002A5E4D" w:rsidRPr="002A5E4D" w:rsidRDefault="002A5E4D" w:rsidP="004A2378">
      <w:pPr>
        <w:pStyle w:val="Proposal"/>
        <w:numPr>
          <w:ilvl w:val="2"/>
          <w:numId w:val="20"/>
        </w:numPr>
      </w:pPr>
      <w:r w:rsidRPr="002A5E4D">
        <w:t>The support of higher-resolution eType II parameter combination, as well as concurrent support of two-sided AIML CSF and higher-resolution eType II, should require additional UE capability.</w:t>
      </w:r>
    </w:p>
    <w:p w14:paraId="3744E0D9" w14:textId="77777777" w:rsidR="002A5E4D" w:rsidRPr="002A5E4D" w:rsidRDefault="002A5E4D" w:rsidP="004A2378">
      <w:pPr>
        <w:pStyle w:val="Proposal"/>
        <w:numPr>
          <w:ilvl w:val="2"/>
          <w:numId w:val="20"/>
        </w:numPr>
      </w:pPr>
      <w:r w:rsidRPr="002A5E4D">
        <w:t>Whether NW triggers the higher-resolution eType II parameter combination for two-sided AIML CSF performance monitoring is up to NW implementation and no further specification (other than concurrency aspects) is needed from AIML point of view.</w:t>
      </w:r>
    </w:p>
    <w:p w14:paraId="41A47C22" w14:textId="09B4C683" w:rsidR="002553E6" w:rsidRPr="002A5E4D" w:rsidRDefault="006379E2" w:rsidP="00A32F07">
      <w:pPr>
        <w:rPr>
          <w:b/>
          <w:bCs/>
        </w:rPr>
      </w:pPr>
      <w:r w:rsidRPr="002A5E4D">
        <w:rPr>
          <w:b/>
          <w:bCs/>
        </w:rPr>
        <w:fldChar w:fldCharType="begin"/>
      </w:r>
      <w:r w:rsidRPr="002A5E4D">
        <w:rPr>
          <w:b/>
          <w:bCs/>
        </w:rPr>
        <w:instrText xml:space="preserve"> REF _Ref189861257 \w \h </w:instrText>
      </w:r>
      <w:r w:rsidR="002A5E4D">
        <w:rPr>
          <w:b/>
          <w:bCs/>
        </w:rPr>
        <w:instrText xml:space="preserve"> \* MERGEFORMAT </w:instrText>
      </w:r>
      <w:r w:rsidRPr="002A5E4D">
        <w:rPr>
          <w:b/>
          <w:bCs/>
        </w:rPr>
      </w:r>
      <w:r w:rsidRPr="002A5E4D">
        <w:rPr>
          <w:b/>
          <w:bCs/>
        </w:rPr>
        <w:fldChar w:fldCharType="separate"/>
      </w:r>
      <w:r w:rsidR="00631423">
        <w:rPr>
          <w:b/>
          <w:bCs/>
        </w:rPr>
        <w:t>Proposal 14:</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_Ref189861257 \h </w:instrText>
      </w:r>
      <w:r w:rsidR="002A5E4D">
        <w:rPr>
          <w:b/>
          <w:bCs/>
        </w:rPr>
        <w:instrText xml:space="preserve"> \* MERGEFORMAT </w:instrText>
      </w:r>
      <w:r w:rsidRPr="002A5E4D">
        <w:rPr>
          <w:b/>
          <w:bCs/>
        </w:rPr>
      </w:r>
      <w:r w:rsidRPr="002A5E4D">
        <w:rPr>
          <w:b/>
          <w:bCs/>
        </w:rPr>
        <w:fldChar w:fldCharType="separate"/>
      </w:r>
      <w:r w:rsidR="00631423" w:rsidRPr="00631423">
        <w:rPr>
          <w:b/>
          <w:bCs/>
        </w:rPr>
        <w:t>Consider existing parameter-combinations of eType II codebook for ground-truth reporting of NW side monitoring.</w:t>
      </w:r>
      <w:r w:rsidRPr="002A5E4D">
        <w:rPr>
          <w:b/>
          <w:bCs/>
        </w:rPr>
        <w:fldChar w:fldCharType="end"/>
      </w:r>
    </w:p>
    <w:p w14:paraId="57CFF9FB" w14:textId="0FD91850" w:rsidR="005477E1" w:rsidRPr="002A5E4D" w:rsidRDefault="006379E2" w:rsidP="00A32F07">
      <w:pPr>
        <w:rPr>
          <w:b/>
          <w:bCs/>
        </w:rPr>
      </w:pPr>
      <w:r w:rsidRPr="002A5E4D">
        <w:rPr>
          <w:b/>
          <w:bCs/>
        </w:rPr>
        <w:fldChar w:fldCharType="begin"/>
      </w:r>
      <w:r w:rsidRPr="002A5E4D">
        <w:rPr>
          <w:b/>
          <w:bCs/>
        </w:rPr>
        <w:instrText xml:space="preserve"> REF _Ref189861262 \w \h </w:instrText>
      </w:r>
      <w:r w:rsidR="002A5E4D">
        <w:rPr>
          <w:b/>
          <w:bCs/>
        </w:rPr>
        <w:instrText xml:space="preserve"> \* MERGEFORMAT </w:instrText>
      </w:r>
      <w:r w:rsidRPr="002A5E4D">
        <w:rPr>
          <w:b/>
          <w:bCs/>
        </w:rPr>
      </w:r>
      <w:r w:rsidRPr="002A5E4D">
        <w:rPr>
          <w:b/>
          <w:bCs/>
        </w:rPr>
        <w:fldChar w:fldCharType="separate"/>
      </w:r>
      <w:r w:rsidR="00631423">
        <w:rPr>
          <w:b/>
          <w:bCs/>
        </w:rPr>
        <w:t>Proposal 15:</w:t>
      </w:r>
      <w:r w:rsidRPr="002A5E4D">
        <w:rPr>
          <w:b/>
          <w:bCs/>
        </w:rPr>
        <w:fldChar w:fldCharType="end"/>
      </w:r>
      <w:r w:rsidR="002553E6" w:rsidRPr="002A5E4D">
        <w:rPr>
          <w:b/>
          <w:bCs/>
        </w:rPr>
        <w:t xml:space="preserve"> </w:t>
      </w:r>
      <w:r w:rsidRPr="002A5E4D">
        <w:rPr>
          <w:b/>
          <w:bCs/>
        </w:rPr>
        <w:fldChar w:fldCharType="begin"/>
      </w:r>
      <w:r w:rsidRPr="002A5E4D">
        <w:rPr>
          <w:b/>
          <w:bCs/>
        </w:rPr>
        <w:instrText xml:space="preserve"> REF _Ref189861262 \h </w:instrText>
      </w:r>
      <w:r w:rsidR="002A5E4D">
        <w:rPr>
          <w:b/>
          <w:bCs/>
        </w:rPr>
        <w:instrText xml:space="preserve"> \* MERGEFORMAT </w:instrText>
      </w:r>
      <w:r w:rsidRPr="002A5E4D">
        <w:rPr>
          <w:b/>
          <w:bCs/>
        </w:rPr>
      </w:r>
      <w:r w:rsidRPr="002A5E4D">
        <w:rPr>
          <w:b/>
          <w:bCs/>
        </w:rPr>
        <w:fldChar w:fldCharType="separate"/>
      </w:r>
      <w:r w:rsidR="00631423" w:rsidRPr="00631423">
        <w:rPr>
          <w:b/>
          <w:bCs/>
        </w:rPr>
        <w:t>RAN1 to perform evaluation study for monitoring. accuracy requirement, the following methodology is proposed for the study:</w:t>
      </w:r>
      <w:r w:rsidRPr="002A5E4D">
        <w:rPr>
          <w:b/>
          <w:bCs/>
        </w:rPr>
        <w:fldChar w:fldCharType="end"/>
      </w:r>
    </w:p>
    <w:p w14:paraId="75234A4E" w14:textId="77777777" w:rsidR="002A5E4D" w:rsidRPr="002A5E4D" w:rsidRDefault="002A5E4D" w:rsidP="004A2378">
      <w:pPr>
        <w:pStyle w:val="Proposal"/>
        <w:numPr>
          <w:ilvl w:val="0"/>
          <w:numId w:val="14"/>
        </w:numPr>
      </w:pPr>
      <w:r w:rsidRPr="002A5E4D">
        <w:t>Generate a dataset A and develop an encoder-decoder pair E1D1 under this dataset A. Running inference on this dataset is considered to be the normal scenario where no underlying issue occurs.</w:t>
      </w:r>
    </w:p>
    <w:p w14:paraId="65E6910A" w14:textId="21267712" w:rsidR="002A5E4D" w:rsidRPr="002A5E4D" w:rsidRDefault="002A5E4D" w:rsidP="004A2378">
      <w:pPr>
        <w:pStyle w:val="Proposal"/>
        <w:numPr>
          <w:ilvl w:val="1"/>
          <w:numId w:val="14"/>
        </w:numPr>
      </w:pPr>
      <w:r w:rsidRPr="002A5E4D">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rsidRPr="002A5E4D">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rsidRPr="002A5E4D">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rsidRPr="002A5E4D">
        <w:t xml:space="preserve"> is defined as number of false-alarm events divided by the total number of samples in dataset A.</w:t>
      </w:r>
    </w:p>
    <w:p w14:paraId="59570C77" w14:textId="77777777" w:rsidR="002A5E4D" w:rsidRPr="002A5E4D" w:rsidRDefault="002A5E4D" w:rsidP="004A2378">
      <w:pPr>
        <w:pStyle w:val="Proposal"/>
        <w:numPr>
          <w:ilvl w:val="0"/>
          <w:numId w:val="14"/>
        </w:numPr>
      </w:pPr>
      <w:r w:rsidRPr="002A5E4D">
        <w:t>Generate a dataset B from a different distribution than dataset A. Running inference on this dataset using E1D1 is considered to be the abnormal scenario where underlying issue (e.g., data drift) occurs.</w:t>
      </w:r>
    </w:p>
    <w:p w14:paraId="7B861748" w14:textId="65D402B7" w:rsidR="002A5E4D" w:rsidRPr="002A5E4D" w:rsidRDefault="002A5E4D" w:rsidP="004A2378">
      <w:pPr>
        <w:pStyle w:val="Proposal"/>
        <w:numPr>
          <w:ilvl w:val="1"/>
          <w:numId w:val="14"/>
        </w:numPr>
      </w:pPr>
      <w:r w:rsidRPr="002A5E4D">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rsidRPr="002A5E4D">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rsidRPr="002A5E4D">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m:t>
        </m:r>
        <m:r>
          <m:rPr>
            <m:sty m:val="bi"/>
          </m:rPr>
          <w:rPr>
            <w:rFonts w:ascii="Cambria Math" w:hAnsi="Cambria Math"/>
          </w:rPr>
          <w:lastRenderedPageBreak/>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rsidRPr="002A5E4D">
        <w:t xml:space="preserve"> is defined as number of miss-detections events divided by the total number of samples in dataset B.</w:t>
      </w:r>
    </w:p>
    <w:p w14:paraId="62380E21" w14:textId="53A799C5" w:rsidR="002A5E4D" w:rsidRPr="002A5E4D" w:rsidRDefault="002A5E4D" w:rsidP="004A2378">
      <w:pPr>
        <w:pStyle w:val="Proposal"/>
        <w:numPr>
          <w:ilvl w:val="0"/>
          <w:numId w:val="14"/>
        </w:numPr>
      </w:pPr>
      <w:r w:rsidRPr="002A5E4D">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rsidRPr="002A5E4D">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rsidRPr="002A5E4D">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rsidRPr="002A5E4D">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rsidRPr="002A5E4D">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rsidRPr="002A5E4D">
        <w:t>. Companies to also report the total feedback overhead over the N occasions.</w:t>
      </w:r>
    </w:p>
    <w:p w14:paraId="1B82F443" w14:textId="12757E8B" w:rsidR="002A5E4D" w:rsidRPr="002A5E4D" w:rsidRDefault="002A5E4D" w:rsidP="004A2378">
      <w:pPr>
        <w:pStyle w:val="Proposal"/>
        <w:numPr>
          <w:ilvl w:val="0"/>
          <w:numId w:val="14"/>
        </w:numPr>
      </w:pPr>
      <w:r w:rsidRPr="002A5E4D">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rsidRPr="002A5E4D">
        <w:t>.</w:t>
      </w:r>
    </w:p>
    <w:p w14:paraId="09E173E0" w14:textId="77777777" w:rsidR="002A5E4D" w:rsidRPr="002A5E4D" w:rsidRDefault="002A5E4D" w:rsidP="004A2378">
      <w:pPr>
        <w:pStyle w:val="ListParagraph"/>
        <w:numPr>
          <w:ilvl w:val="0"/>
          <w:numId w:val="14"/>
        </w:numPr>
        <w:rPr>
          <w:b/>
          <w:bCs/>
          <w:i/>
          <w:iCs/>
        </w:rPr>
      </w:pPr>
      <w:r w:rsidRPr="002A5E4D">
        <w:rPr>
          <w:b/>
          <w:bCs/>
          <w:i/>
          <w:iCs/>
        </w:rPr>
        <w:t>Monitoring accuracy requirement can be derived based on the value N and the accuracy of the ground truth report (i.e., eType2, higher-resolution eType2) that provides satisfactory monitoring decision performance.</w:t>
      </w:r>
    </w:p>
    <w:p w14:paraId="5D8C648C" w14:textId="412B1C5A" w:rsidR="005477E1" w:rsidRPr="002A5E4D" w:rsidRDefault="006379E2" w:rsidP="00A32F07">
      <w:pPr>
        <w:rPr>
          <w:b/>
          <w:bCs/>
        </w:rPr>
      </w:pPr>
      <w:r w:rsidRPr="002A5E4D">
        <w:rPr>
          <w:b/>
          <w:bCs/>
        </w:rPr>
        <w:fldChar w:fldCharType="begin"/>
      </w:r>
      <w:r w:rsidRPr="002A5E4D">
        <w:rPr>
          <w:b/>
          <w:bCs/>
        </w:rPr>
        <w:instrText xml:space="preserve"> REF _Ref194072437 \w \h </w:instrText>
      </w:r>
      <w:r w:rsidR="002A5E4D">
        <w:rPr>
          <w:b/>
          <w:bCs/>
        </w:rPr>
        <w:instrText xml:space="preserve"> \* MERGEFORMAT </w:instrText>
      </w:r>
      <w:r w:rsidRPr="002A5E4D">
        <w:rPr>
          <w:b/>
          <w:bCs/>
        </w:rPr>
      </w:r>
      <w:r w:rsidRPr="002A5E4D">
        <w:rPr>
          <w:b/>
          <w:bCs/>
        </w:rPr>
        <w:fldChar w:fldCharType="separate"/>
      </w:r>
      <w:r w:rsidR="00631423">
        <w:rPr>
          <w:b/>
          <w:bCs/>
        </w:rPr>
        <w:t>Proposal 16:</w:t>
      </w:r>
      <w:r w:rsidRPr="002A5E4D">
        <w:rPr>
          <w:b/>
          <w:bCs/>
        </w:rPr>
        <w:fldChar w:fldCharType="end"/>
      </w:r>
      <w:r w:rsidR="005477E1" w:rsidRPr="002A5E4D">
        <w:rPr>
          <w:b/>
          <w:bCs/>
        </w:rPr>
        <w:t xml:space="preserve"> </w:t>
      </w:r>
      <w:r w:rsidRPr="002A5E4D">
        <w:rPr>
          <w:b/>
          <w:bCs/>
        </w:rPr>
        <w:fldChar w:fldCharType="begin"/>
      </w:r>
      <w:r w:rsidRPr="002A5E4D">
        <w:rPr>
          <w:b/>
          <w:bCs/>
        </w:rPr>
        <w:instrText xml:space="preserve"> REF _Ref194072437 \h </w:instrText>
      </w:r>
      <w:r w:rsidR="002A5E4D">
        <w:rPr>
          <w:b/>
          <w:bCs/>
        </w:rPr>
        <w:instrText xml:space="preserve"> \* MERGEFORMAT </w:instrText>
      </w:r>
      <w:r w:rsidRPr="002A5E4D">
        <w:rPr>
          <w:b/>
          <w:bCs/>
        </w:rPr>
      </w:r>
      <w:r w:rsidRPr="002A5E4D">
        <w:rPr>
          <w:b/>
          <w:bCs/>
        </w:rPr>
        <w:fldChar w:fldCharType="separate"/>
      </w:r>
      <w:r w:rsidR="00631423" w:rsidRPr="00631423">
        <w:rPr>
          <w:b/>
          <w:bCs/>
        </w:rPr>
        <w:t>Consider standardized SQ codebook for the fully specified model in inter-vendor collaboration Direction C. Consider learned VQ codebook and exchange from NW to UE side for inter-vendor collaboration Direction A.</w:t>
      </w:r>
      <w:r w:rsidRPr="002A5E4D">
        <w:rPr>
          <w:b/>
          <w:bCs/>
        </w:rPr>
        <w:fldChar w:fldCharType="end"/>
      </w:r>
    </w:p>
    <w:p w14:paraId="7ACB4DF9" w14:textId="3E605A6D" w:rsidR="005477E1" w:rsidRPr="002A5E4D" w:rsidRDefault="006379E2" w:rsidP="00A32F07">
      <w:pPr>
        <w:rPr>
          <w:b/>
          <w:bCs/>
        </w:rPr>
      </w:pPr>
      <w:r w:rsidRPr="002A5E4D">
        <w:rPr>
          <w:b/>
          <w:bCs/>
        </w:rPr>
        <w:fldChar w:fldCharType="begin"/>
      </w:r>
      <w:r w:rsidRPr="002A5E4D">
        <w:rPr>
          <w:b/>
          <w:bCs/>
        </w:rPr>
        <w:instrText xml:space="preserve"> REF _Ref189861295 \w \h </w:instrText>
      </w:r>
      <w:r w:rsidR="002A5E4D">
        <w:rPr>
          <w:b/>
          <w:bCs/>
        </w:rPr>
        <w:instrText xml:space="preserve"> \* MERGEFORMAT </w:instrText>
      </w:r>
      <w:r w:rsidRPr="002A5E4D">
        <w:rPr>
          <w:b/>
          <w:bCs/>
        </w:rPr>
      </w:r>
      <w:r w:rsidRPr="002A5E4D">
        <w:rPr>
          <w:b/>
          <w:bCs/>
        </w:rPr>
        <w:fldChar w:fldCharType="separate"/>
      </w:r>
      <w:r w:rsidR="00631423">
        <w:rPr>
          <w:b/>
          <w:bCs/>
        </w:rPr>
        <w:t>Proposal 17:</w:t>
      </w:r>
      <w:r w:rsidRPr="002A5E4D">
        <w:rPr>
          <w:b/>
          <w:bCs/>
        </w:rPr>
        <w:fldChar w:fldCharType="end"/>
      </w:r>
      <w:r w:rsidR="005477E1" w:rsidRPr="002A5E4D">
        <w:rPr>
          <w:b/>
          <w:bCs/>
        </w:rPr>
        <w:t xml:space="preserve"> </w:t>
      </w:r>
      <w:r w:rsidRPr="002A5E4D">
        <w:rPr>
          <w:b/>
          <w:bCs/>
        </w:rPr>
        <w:fldChar w:fldCharType="begin"/>
      </w:r>
      <w:r w:rsidRPr="002A5E4D">
        <w:rPr>
          <w:b/>
          <w:bCs/>
        </w:rPr>
        <w:instrText xml:space="preserve"> REF _Ref189861295 \h </w:instrText>
      </w:r>
      <w:r w:rsidR="002A5E4D">
        <w:rPr>
          <w:b/>
          <w:bCs/>
        </w:rPr>
        <w:instrText xml:space="preserve"> \* MERGEFORMAT </w:instrText>
      </w:r>
      <w:r w:rsidRPr="002A5E4D">
        <w:rPr>
          <w:b/>
          <w:bCs/>
        </w:rPr>
      </w:r>
      <w:r w:rsidRPr="002A5E4D">
        <w:rPr>
          <w:b/>
          <w:bCs/>
        </w:rPr>
        <w:fldChar w:fldCharType="separate"/>
      </w:r>
      <w:r w:rsidR="00631423" w:rsidRPr="00631423">
        <w:rPr>
          <w:b/>
          <w:bCs/>
        </w:rPr>
        <w:t>Conclude that CQI calculation option 2a (where UE runs CSI reconstruction model and use its output for CQI calculation) can be employed with the consideration of potentially higher timeline and higher cost of processing unit and memory.</w:t>
      </w:r>
      <w:r w:rsidRPr="002A5E4D">
        <w:rPr>
          <w:b/>
          <w:bCs/>
        </w:rPr>
        <w:fldChar w:fldCharType="end"/>
      </w:r>
    </w:p>
    <w:p w14:paraId="3719D58E" w14:textId="0A93E555" w:rsidR="00A56023" w:rsidRDefault="006379E2" w:rsidP="00A32F07">
      <w:pPr>
        <w:rPr>
          <w:b/>
          <w:bCs/>
        </w:rPr>
      </w:pPr>
      <w:r w:rsidRPr="002A5E4D">
        <w:rPr>
          <w:b/>
          <w:bCs/>
        </w:rPr>
        <w:fldChar w:fldCharType="begin"/>
      </w:r>
      <w:r w:rsidRPr="002A5E4D">
        <w:rPr>
          <w:b/>
          <w:bCs/>
        </w:rPr>
        <w:instrText xml:space="preserve"> REF _Ref189861301 \w \h </w:instrText>
      </w:r>
      <w:r w:rsidR="002A5E4D">
        <w:rPr>
          <w:b/>
          <w:bCs/>
        </w:rPr>
        <w:instrText xml:space="preserve"> \* MERGEFORMAT </w:instrText>
      </w:r>
      <w:r w:rsidRPr="002A5E4D">
        <w:rPr>
          <w:b/>
          <w:bCs/>
        </w:rPr>
      </w:r>
      <w:r w:rsidRPr="002A5E4D">
        <w:rPr>
          <w:b/>
          <w:bCs/>
        </w:rPr>
        <w:fldChar w:fldCharType="separate"/>
      </w:r>
      <w:r w:rsidR="00631423">
        <w:rPr>
          <w:b/>
          <w:bCs/>
        </w:rPr>
        <w:t>Proposal 18:</w:t>
      </w:r>
      <w:r w:rsidRPr="002A5E4D">
        <w:rPr>
          <w:b/>
          <w:bCs/>
        </w:rPr>
        <w:fldChar w:fldCharType="end"/>
      </w:r>
      <w:r w:rsidR="005477E1" w:rsidRPr="002A5E4D">
        <w:rPr>
          <w:b/>
          <w:bCs/>
        </w:rPr>
        <w:t xml:space="preserve"> </w:t>
      </w:r>
      <w:r w:rsidRPr="002A5E4D">
        <w:rPr>
          <w:b/>
          <w:bCs/>
        </w:rPr>
        <w:fldChar w:fldCharType="begin"/>
      </w:r>
      <w:r w:rsidRPr="002A5E4D">
        <w:rPr>
          <w:b/>
          <w:bCs/>
        </w:rPr>
        <w:instrText xml:space="preserve"> REF _Ref189861301 \h </w:instrText>
      </w:r>
      <w:r w:rsidR="002A5E4D">
        <w:rPr>
          <w:b/>
          <w:bCs/>
        </w:rPr>
        <w:instrText xml:space="preserve"> \* MERGEFORMAT </w:instrText>
      </w:r>
      <w:r w:rsidRPr="002A5E4D">
        <w:rPr>
          <w:b/>
          <w:bCs/>
        </w:rPr>
      </w:r>
      <w:r w:rsidRPr="002A5E4D">
        <w:rPr>
          <w:b/>
          <w:bCs/>
        </w:rPr>
        <w:fldChar w:fldCharType="separate"/>
      </w:r>
      <w:r w:rsidR="00631423" w:rsidRPr="00631423">
        <w:rPr>
          <w:b/>
          <w:b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sidRPr="002A5E4D">
        <w:rPr>
          <w:b/>
          <w:bCs/>
        </w:rPr>
        <w:fldChar w:fldCharType="end"/>
      </w:r>
    </w:p>
    <w:p w14:paraId="7E397BB5" w14:textId="77777777" w:rsidR="007E3D6D" w:rsidRDefault="00511256" w:rsidP="00511256">
      <w:pPr>
        <w:rPr>
          <w:b/>
          <w:bCs/>
        </w:rPr>
      </w:pPr>
      <w:r w:rsidRPr="00511256">
        <w:rPr>
          <w:b/>
          <w:bCs/>
        </w:rPr>
        <w:t xml:space="preserve">Proposal 19: </w:t>
      </w:r>
      <w:r w:rsidR="004409D3" w:rsidRPr="004409D3">
        <w:rPr>
          <w:b/>
          <w:bCs/>
        </w:rPr>
        <w:t>With regards to the CPU pool for AI/ML-based CSI processing, support both of the following, as separate UE capabilities:</w:t>
      </w:r>
    </w:p>
    <w:p w14:paraId="7B479921" w14:textId="77777777" w:rsidR="007E3D6D" w:rsidRDefault="004409D3" w:rsidP="004A2378">
      <w:pPr>
        <w:pStyle w:val="ListParagraph"/>
        <w:numPr>
          <w:ilvl w:val="0"/>
          <w:numId w:val="30"/>
        </w:numPr>
        <w:rPr>
          <w:b/>
          <w:bCs/>
        </w:rPr>
      </w:pPr>
      <w:r w:rsidRPr="007E3D6D">
        <w:rPr>
          <w:b/>
          <w:bCs/>
        </w:rPr>
        <w:t>AI/ML shares the same CPU pool as legacy: the CPU pool for AI/ML-based CSI processing is shared with the legacy CPU pool.</w:t>
      </w:r>
    </w:p>
    <w:p w14:paraId="60790C57" w14:textId="095AB63B" w:rsidR="007E3D6D" w:rsidRDefault="004409D3" w:rsidP="004A2378">
      <w:pPr>
        <w:pStyle w:val="ListParagraph"/>
        <w:numPr>
          <w:ilvl w:val="0"/>
          <w:numId w:val="30"/>
        </w:numPr>
        <w:rPr>
          <w:b/>
          <w:bCs/>
        </w:rPr>
      </w:pPr>
      <w:r w:rsidRPr="007E3D6D">
        <w:rPr>
          <w:b/>
          <w:bCs/>
        </w:rPr>
        <w:t>Dedicated AI/ML PU pool separate from legacy: there’s a dedicated CPU pool for AI/ML-based CSI processing (namely AI/ML processing unit-APU), which is separate from legacy CPU pool.</w:t>
      </w:r>
    </w:p>
    <w:p w14:paraId="05DA9464" w14:textId="6C422690" w:rsidR="000F69BF" w:rsidRPr="00631423" w:rsidRDefault="004409D3" w:rsidP="00631423">
      <w:pPr>
        <w:pStyle w:val="ListParagraph"/>
        <w:numPr>
          <w:ilvl w:val="1"/>
          <w:numId w:val="30"/>
        </w:numPr>
        <w:rPr>
          <w:b/>
          <w:bCs/>
        </w:rPr>
      </w:pPr>
      <w:r w:rsidRPr="007E3D6D">
        <w:rPr>
          <w:b/>
          <w:bCs/>
        </w:rPr>
        <w:t>The dedicated CPU pool for AI/ML-based use cases is shared among AI/ML-based CSI processing use cases.</w:t>
      </w:r>
    </w:p>
    <w:p w14:paraId="362C86CB" w14:textId="77777777" w:rsidR="000F69BF" w:rsidRDefault="000F69BF" w:rsidP="000F69BF">
      <w:pPr>
        <w:rPr>
          <w:b/>
          <w:bCs/>
        </w:rPr>
      </w:pPr>
      <w:r w:rsidRPr="000F69BF">
        <w:rPr>
          <w:b/>
          <w:bCs/>
        </w:rPr>
        <w:t>Proposal 20:</w:t>
      </w:r>
      <w:r>
        <w:rPr>
          <w:b/>
          <w:bCs/>
        </w:rPr>
        <w:t xml:space="preserve"> </w:t>
      </w:r>
      <w:r w:rsidRPr="000F69BF">
        <w:rPr>
          <w:b/>
          <w:bCs/>
        </w:rPr>
        <w:t>To address the FFS on whether the Processing Unit should be shared or separately counted among AI/ML related features/functionalities, support the following:</w:t>
      </w:r>
    </w:p>
    <w:p w14:paraId="6E448605" w14:textId="77777777" w:rsidR="000F69BF" w:rsidRDefault="000F69BF" w:rsidP="000F69BF">
      <w:pPr>
        <w:pStyle w:val="ListParagraph"/>
        <w:numPr>
          <w:ilvl w:val="0"/>
          <w:numId w:val="34"/>
        </w:numPr>
        <w:rPr>
          <w:b/>
          <w:bCs/>
        </w:rPr>
      </w:pPr>
      <w:r w:rsidRPr="00631423">
        <w:rPr>
          <w:b/>
          <w:bCs/>
        </w:rPr>
        <w:t>The AI/ML PU must be shared among AI/ML-based CSI processing use cases.</w:t>
      </w:r>
    </w:p>
    <w:p w14:paraId="78CFD94E" w14:textId="5C8ED314" w:rsidR="000F69BF" w:rsidRPr="00631423" w:rsidRDefault="000F69BF" w:rsidP="00631423">
      <w:pPr>
        <w:pStyle w:val="ListParagraph"/>
        <w:numPr>
          <w:ilvl w:val="1"/>
          <w:numId w:val="34"/>
        </w:numPr>
        <w:rPr>
          <w:b/>
          <w:bCs/>
        </w:rPr>
      </w:pPr>
      <w:r w:rsidRPr="00631423">
        <w:rPr>
          <w:b/>
          <w:bCs/>
        </w:rPr>
        <w:t>There will be no AI/ML PU counting for non-CSI-related AI/ML tasks</w:t>
      </w:r>
    </w:p>
    <w:p w14:paraId="34A5EA90" w14:textId="30A583F8" w:rsidR="004409D3" w:rsidRDefault="004A2378" w:rsidP="00A32F07">
      <w:pPr>
        <w:rPr>
          <w:b/>
          <w:bCs/>
        </w:rPr>
      </w:pPr>
      <w:r w:rsidRPr="004A2378">
        <w:rPr>
          <w:b/>
          <w:bCs/>
        </w:rPr>
        <w:t>Proposal 2</w:t>
      </w:r>
      <w:r w:rsidR="000F69BF">
        <w:rPr>
          <w:b/>
          <w:bCs/>
        </w:rPr>
        <w:t>1</w:t>
      </w:r>
      <w:r w:rsidRPr="004A2378">
        <w:rPr>
          <w:b/>
          <w:bCs/>
        </w:rPr>
        <w:t>:</w:t>
      </w:r>
      <w:r>
        <w:rPr>
          <w:b/>
          <w:bCs/>
        </w:rPr>
        <w:t xml:space="preserve"> </w:t>
      </w:r>
      <w:r w:rsidRPr="004A2378">
        <w:rPr>
          <w:b/>
          <w:bCs/>
        </w:rPr>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6A14D5CD" w14:textId="77777777" w:rsidR="00294AF6" w:rsidRDefault="00294AF6" w:rsidP="00294AF6"/>
    <w:p w14:paraId="3C5B1987" w14:textId="590FF6AD" w:rsidR="00294AF6" w:rsidRPr="00294AF6" w:rsidRDefault="00294AF6" w:rsidP="00294AF6">
      <w:pPr>
        <w:rPr>
          <w:b/>
          <w:bCs/>
        </w:rPr>
      </w:pPr>
      <w:r w:rsidRPr="00634C00">
        <w:rPr>
          <w:b/>
          <w:bCs/>
        </w:rPr>
        <w:t>Proposal 2</w:t>
      </w:r>
      <w:r>
        <w:rPr>
          <w:b/>
          <w:bCs/>
        </w:rPr>
        <w:t>2</w:t>
      </w:r>
      <w:r w:rsidRPr="00634C00">
        <w:rPr>
          <w:b/>
          <w:bCs/>
        </w:rPr>
        <w:t>:</w:t>
      </w:r>
      <w:r>
        <w:rPr>
          <w:b/>
          <w:bCs/>
        </w:rPr>
        <w:t xml:space="preserve"> </w:t>
      </w:r>
      <w:r w:rsidRPr="00294AF6">
        <w:rPr>
          <w:b/>
          <w:bCs/>
        </w:rPr>
        <w:t>For AI/ML processing units, consider the following solutions</w:t>
      </w:r>
      <w:r w:rsidRPr="00294AF6">
        <w:rPr>
          <w:b/>
          <w:bCs/>
        </w:rPr>
        <w:br/>
        <w:t xml:space="preserve">Solution 1: Use a shared AI/ML processing unit budget and per-use-case processing unit count, </w:t>
      </w:r>
      <w:r w:rsidRPr="00294AF6">
        <w:rPr>
          <w:b/>
          <w:bCs/>
        </w:rPr>
        <w:lastRenderedPageBreak/>
        <w:t>reported in UE capability</w:t>
      </w:r>
      <w:r w:rsidRPr="00294AF6">
        <w:rPr>
          <w:b/>
          <w:bCs/>
        </w:rPr>
        <w:br/>
        <w:t>Solution 2: Introduce tuples for supported combinations of concurrent AI/ML-enabled CSI processing across different features, as part of UE capability</w:t>
      </w:r>
    </w:p>
    <w:p w14:paraId="0DEF13C8" w14:textId="77777777" w:rsidR="00294AF6" w:rsidRDefault="00294AF6" w:rsidP="00294AF6"/>
    <w:p w14:paraId="33B1F971" w14:textId="5BBEDF88" w:rsidR="0014721C" w:rsidRPr="002A5E4D" w:rsidRDefault="00634C00" w:rsidP="00A32F07">
      <w:pPr>
        <w:rPr>
          <w:b/>
          <w:bCs/>
        </w:rPr>
      </w:pPr>
      <w:r w:rsidRPr="00634C00">
        <w:rPr>
          <w:b/>
          <w:bCs/>
        </w:rPr>
        <w:t xml:space="preserve">Proposal </w:t>
      </w:r>
      <w:r w:rsidR="00294AF6" w:rsidRPr="00634C00">
        <w:rPr>
          <w:b/>
          <w:bCs/>
        </w:rPr>
        <w:t>2</w:t>
      </w:r>
      <w:r w:rsidR="00294AF6">
        <w:rPr>
          <w:b/>
          <w:bCs/>
        </w:rPr>
        <w:t>3</w:t>
      </w:r>
      <w:r w:rsidRPr="00634C00">
        <w:rPr>
          <w:b/>
          <w:bCs/>
        </w:rPr>
        <w:t>:</w:t>
      </w:r>
      <w:r>
        <w:rPr>
          <w:b/>
          <w:bCs/>
        </w:rPr>
        <w:t xml:space="preserve"> </w:t>
      </w:r>
      <w:r w:rsidRPr="00634C00">
        <w:rPr>
          <w:b/>
          <w:bCs/>
        </w:rPr>
        <w:t xml:space="preserve">Study the latency requirements </w:t>
      </w:r>
      <w:r w:rsidR="008869A7">
        <w:rPr>
          <w:b/>
          <w:bCs/>
        </w:rPr>
        <w:t>for</w:t>
      </w:r>
      <w:r w:rsidRPr="00634C00">
        <w:rPr>
          <w:b/>
          <w:bCs/>
        </w:rPr>
        <w:t xml:space="preserve"> concurrent and non-concurrent AIML processing.</w:t>
      </w:r>
    </w:p>
    <w:p w14:paraId="47CB6E96" w14:textId="536C2413" w:rsidR="00B540C6" w:rsidRDefault="00B540C6" w:rsidP="00053DCF">
      <w:pPr>
        <w:pStyle w:val="Heading1"/>
        <w:numPr>
          <w:ilvl w:val="0"/>
          <w:numId w:val="0"/>
        </w:numPr>
        <w:ind w:left="432" w:hanging="432"/>
      </w:pPr>
      <w:r>
        <w:t>References</w:t>
      </w:r>
    </w:p>
    <w:p w14:paraId="38DEF5F4" w14:textId="452E988D" w:rsidR="008260B1" w:rsidRPr="008260B1" w:rsidRDefault="00CD643D" w:rsidP="004A2378">
      <w:pPr>
        <w:pStyle w:val="ListParagraph"/>
        <w:numPr>
          <w:ilvl w:val="0"/>
          <w:numId w:val="2"/>
        </w:numPr>
      </w:pPr>
      <w:bookmarkStart w:id="68"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68"/>
    </w:p>
    <w:p w14:paraId="3F0AC58B" w14:textId="5FD85209" w:rsidR="006C72F3" w:rsidRDefault="005257FA" w:rsidP="004A2378">
      <w:pPr>
        <w:pStyle w:val="ListParagraph"/>
        <w:numPr>
          <w:ilvl w:val="0"/>
          <w:numId w:val="2"/>
        </w:numPr>
      </w:pPr>
      <w:bookmarkStart w:id="69" w:name="_Ref158971936"/>
      <w:bookmarkStart w:id="70" w:name="_Ref158821511"/>
      <w:r w:rsidRPr="006536C8">
        <w:t>RP-2</w:t>
      </w:r>
      <w:r w:rsidR="007950F0">
        <w:t>4239</w:t>
      </w:r>
      <w:r w:rsidRPr="006536C8">
        <w:t>9,</w:t>
      </w:r>
      <w:r w:rsidR="00FF500D" w:rsidRPr="00FF500D">
        <w:t xml:space="preserve"> </w:t>
      </w:r>
      <w:r w:rsidR="000724AC">
        <w:t>“</w:t>
      </w:r>
      <w:r w:rsidR="00195BD6" w:rsidRPr="00195BD6">
        <w:t>Revised WID on Artificial Intelligence (AI)/Machine Learning (ML) for NR Air Interface</w:t>
      </w:r>
      <w:r w:rsidR="000724AC">
        <w:t>”</w:t>
      </w:r>
      <w:r w:rsidR="00C16A63">
        <w:t xml:space="preserve">, </w:t>
      </w:r>
      <w:r w:rsidR="00C95E25">
        <w:t xml:space="preserve">Qualcomm (Moderator), </w:t>
      </w:r>
      <w:r w:rsidR="00003EB9">
        <w:t>3GPP TSG RAN #</w:t>
      </w:r>
      <w:r w:rsidR="008454B6">
        <w:t>10</w:t>
      </w:r>
      <w:r w:rsidR="00195BD6">
        <w:t>5</w:t>
      </w:r>
      <w:r w:rsidR="00AA19F8">
        <w:t xml:space="preserve">, </w:t>
      </w:r>
      <w:r w:rsidR="00195BD6">
        <w:t>September</w:t>
      </w:r>
      <w:r w:rsidR="00AA19F8">
        <w:t xml:space="preserve"> 202</w:t>
      </w:r>
      <w:r w:rsidR="00195BD6">
        <w:t>4</w:t>
      </w:r>
      <w:r w:rsidR="00FF500D" w:rsidRPr="006536C8">
        <w:t>.</w:t>
      </w:r>
      <w:bookmarkEnd w:id="69"/>
    </w:p>
    <w:p w14:paraId="147D9665" w14:textId="3693EDA3" w:rsidR="008D633C" w:rsidRDefault="008D633C" w:rsidP="004A2378">
      <w:pPr>
        <w:pStyle w:val="ListParagraph"/>
        <w:numPr>
          <w:ilvl w:val="0"/>
          <w:numId w:val="2"/>
        </w:numPr>
      </w:pPr>
      <w:bookmarkStart w:id="71" w:name="_Ref178930606"/>
      <w:r>
        <w:t>R2-</w:t>
      </w:r>
      <w:r w:rsidR="00524335">
        <w:t>2</w:t>
      </w:r>
      <w:r w:rsidR="00372860">
        <w:t>50</w:t>
      </w:r>
      <w:r w:rsidR="001C708A">
        <w:t>2831</w:t>
      </w:r>
      <w:r w:rsidR="00524335">
        <w:t>, “</w:t>
      </w:r>
      <w:r w:rsidR="005E6D4A">
        <w:t>Specification support for CSI prediction</w:t>
      </w:r>
      <w:r w:rsidR="00524335">
        <w:t>”</w:t>
      </w:r>
      <w:r w:rsidR="004A1C42">
        <w:t xml:space="preserve">, </w:t>
      </w:r>
      <w:r w:rsidR="004A1C42" w:rsidRPr="000215E9">
        <w:t>Qualcomm Incorporated, 3GPP TSG RAN WG</w:t>
      </w:r>
      <w:r w:rsidR="005E6D4A">
        <w:t>1</w:t>
      </w:r>
      <w:r w:rsidR="004A1C42" w:rsidRPr="000215E9">
        <w:t xml:space="preserve"> #1</w:t>
      </w:r>
      <w:r w:rsidR="004358C9">
        <w:t>2</w:t>
      </w:r>
      <w:r w:rsidR="005E6D4A">
        <w:t>0-bis</w:t>
      </w:r>
      <w:r w:rsidR="004A1C42" w:rsidRPr="000215E9">
        <w:t xml:space="preserve">, </w:t>
      </w:r>
      <w:r w:rsidR="005E6D4A">
        <w:t>Wuhan, China</w:t>
      </w:r>
      <w:r w:rsidR="009D1317">
        <w:t xml:space="preserve">, </w:t>
      </w:r>
      <w:r w:rsidR="005E6D4A">
        <w:t>April</w:t>
      </w:r>
      <w:r w:rsidR="004A1C42" w:rsidRPr="000215E9">
        <w:t xml:space="preserve"> 2</w:t>
      </w:r>
      <w:bookmarkEnd w:id="71"/>
      <w:r w:rsidR="009D1317">
        <w:t>025</w:t>
      </w:r>
    </w:p>
    <w:bookmarkEnd w:id="70"/>
    <w:p w14:paraId="684597EF" w14:textId="77777777" w:rsidR="00B540C6" w:rsidRPr="00B540C6" w:rsidRDefault="00B540C6" w:rsidP="00B540C6"/>
    <w:p w14:paraId="2C078E63" w14:textId="77777777" w:rsidR="0063696F" w:rsidRDefault="0063696F"/>
    <w:sectPr w:rsidR="0063696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19D93" w14:textId="77777777" w:rsidR="00B20DE0" w:rsidRDefault="00B20DE0" w:rsidP="00E25422">
      <w:r>
        <w:separator/>
      </w:r>
    </w:p>
  </w:endnote>
  <w:endnote w:type="continuationSeparator" w:id="0">
    <w:p w14:paraId="10878C18" w14:textId="77777777" w:rsidR="00B20DE0" w:rsidRDefault="00B20DE0" w:rsidP="00E25422">
      <w:r>
        <w:continuationSeparator/>
      </w:r>
    </w:p>
  </w:endnote>
  <w:endnote w:type="continuationNotice" w:id="1">
    <w:p w14:paraId="5BC61B32" w14:textId="77777777" w:rsidR="00B20DE0" w:rsidRDefault="00B20DE0"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FCA37" w14:textId="77777777" w:rsidR="00B20DE0" w:rsidRDefault="00B20DE0" w:rsidP="00E25422">
      <w:r>
        <w:separator/>
      </w:r>
    </w:p>
  </w:footnote>
  <w:footnote w:type="continuationSeparator" w:id="0">
    <w:p w14:paraId="288593EA" w14:textId="77777777" w:rsidR="00B20DE0" w:rsidRDefault="00B20DE0" w:rsidP="00E25422">
      <w:r>
        <w:continuationSeparator/>
      </w:r>
    </w:p>
  </w:footnote>
  <w:footnote w:type="continuationNotice" w:id="1">
    <w:p w14:paraId="3037EBDB" w14:textId="77777777" w:rsidR="00B20DE0" w:rsidRDefault="00B20DE0"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368609F8"/>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CE25F2F"/>
    <w:multiLevelType w:val="hybridMultilevel"/>
    <w:tmpl w:val="C194F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6F5A91"/>
    <w:multiLevelType w:val="hybridMultilevel"/>
    <w:tmpl w:val="F55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86846"/>
    <w:multiLevelType w:val="hybridMultilevel"/>
    <w:tmpl w:val="3EDAB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7769D"/>
    <w:multiLevelType w:val="hybridMultilevel"/>
    <w:tmpl w:val="5FB6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F3B56"/>
    <w:multiLevelType w:val="hybridMultilevel"/>
    <w:tmpl w:val="91308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C2519F"/>
    <w:multiLevelType w:val="multilevel"/>
    <w:tmpl w:val="A27CDF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16FAC"/>
    <w:multiLevelType w:val="hybridMultilevel"/>
    <w:tmpl w:val="F2B25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42020C0C"/>
    <w:multiLevelType w:val="hybridMultilevel"/>
    <w:tmpl w:val="CEDC6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2876A63"/>
    <w:multiLevelType w:val="hybridMultilevel"/>
    <w:tmpl w:val="3B1C0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481E5F71"/>
    <w:multiLevelType w:val="hybridMultilevel"/>
    <w:tmpl w:val="8ADA3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A929CF"/>
    <w:multiLevelType w:val="hybridMultilevel"/>
    <w:tmpl w:val="66BC90B6"/>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C51B55"/>
    <w:multiLevelType w:val="hybridMultilevel"/>
    <w:tmpl w:val="D55E25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CF102DF"/>
    <w:multiLevelType w:val="hybridMultilevel"/>
    <w:tmpl w:val="83C4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55C0A"/>
    <w:multiLevelType w:val="hybridMultilevel"/>
    <w:tmpl w:val="7A161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52FDD"/>
    <w:multiLevelType w:val="hybridMultilevel"/>
    <w:tmpl w:val="6262E3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BDD0817"/>
    <w:multiLevelType w:val="hybridMultilevel"/>
    <w:tmpl w:val="2FA070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E6E3270"/>
    <w:multiLevelType w:val="hybridMultilevel"/>
    <w:tmpl w:val="4E60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8E04B0"/>
    <w:multiLevelType w:val="hybridMultilevel"/>
    <w:tmpl w:val="A7701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923A43"/>
    <w:multiLevelType w:val="hybridMultilevel"/>
    <w:tmpl w:val="9B101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31"/>
  </w:num>
  <w:num w:numId="3" w16cid:durableId="765266608">
    <w:abstractNumId w:val="26"/>
  </w:num>
  <w:num w:numId="4" w16cid:durableId="940335112">
    <w:abstractNumId w:val="25"/>
  </w:num>
  <w:num w:numId="5" w16cid:durableId="1058550759">
    <w:abstractNumId w:val="27"/>
  </w:num>
  <w:num w:numId="6" w16cid:durableId="1847013554">
    <w:abstractNumId w:val="0"/>
  </w:num>
  <w:num w:numId="7" w16cid:durableId="313294539">
    <w:abstractNumId w:val="10"/>
  </w:num>
  <w:num w:numId="8" w16cid:durableId="2111461746">
    <w:abstractNumId w:val="1"/>
  </w:num>
  <w:num w:numId="9" w16cid:durableId="1768455733">
    <w:abstractNumId w:val="4"/>
  </w:num>
  <w:num w:numId="10" w16cid:durableId="343365967">
    <w:abstractNumId w:val="21"/>
  </w:num>
  <w:num w:numId="11" w16cid:durableId="923152499">
    <w:abstractNumId w:val="29"/>
  </w:num>
  <w:num w:numId="12" w16cid:durableId="123812103">
    <w:abstractNumId w:val="30"/>
  </w:num>
  <w:num w:numId="13" w16cid:durableId="39282429">
    <w:abstractNumId w:val="23"/>
  </w:num>
  <w:num w:numId="14" w16cid:durableId="352000790">
    <w:abstractNumId w:val="22"/>
  </w:num>
  <w:num w:numId="15" w16cid:durableId="1940526312">
    <w:abstractNumId w:val="24"/>
  </w:num>
  <w:num w:numId="16" w16cid:durableId="681858032">
    <w:abstractNumId w:val="28"/>
  </w:num>
  <w:num w:numId="17" w16cid:durableId="2011060884">
    <w:abstractNumId w:val="5"/>
  </w:num>
  <w:num w:numId="18" w16cid:durableId="2088188599">
    <w:abstractNumId w:val="18"/>
  </w:num>
  <w:num w:numId="19" w16cid:durableId="2079938525">
    <w:abstractNumId w:val="2"/>
  </w:num>
  <w:num w:numId="20" w16cid:durableId="1033312258">
    <w:abstractNumId w:val="17"/>
  </w:num>
  <w:num w:numId="21" w16cid:durableId="834800513">
    <w:abstractNumId w:val="16"/>
  </w:num>
  <w:num w:numId="22" w16cid:durableId="87969971">
    <w:abstractNumId w:val="15"/>
  </w:num>
  <w:num w:numId="23" w16cid:durableId="1501852195">
    <w:abstractNumId w:val="14"/>
  </w:num>
  <w:num w:numId="24" w16cid:durableId="238371560">
    <w:abstractNumId w:val="3"/>
  </w:num>
  <w:num w:numId="25" w16cid:durableId="973291391">
    <w:abstractNumId w:val="13"/>
  </w:num>
  <w:num w:numId="26" w16cid:durableId="1573348296">
    <w:abstractNumId w:val="12"/>
  </w:num>
  <w:num w:numId="27" w16cid:durableId="1545866279">
    <w:abstractNumId w:val="20"/>
  </w:num>
  <w:num w:numId="28" w16cid:durableId="1295941362">
    <w:abstractNumId w:val="19"/>
  </w:num>
  <w:num w:numId="29" w16cid:durableId="315493854">
    <w:abstractNumId w:val="8"/>
  </w:num>
  <w:num w:numId="30" w16cid:durableId="1961912604">
    <w:abstractNumId w:val="11"/>
  </w:num>
  <w:num w:numId="31" w16cid:durableId="9840898">
    <w:abstractNumId w:val="1"/>
  </w:num>
  <w:num w:numId="32" w16cid:durableId="949386918">
    <w:abstractNumId w:val="32"/>
  </w:num>
  <w:num w:numId="33" w16cid:durableId="3214273">
    <w:abstractNumId w:val="7"/>
  </w:num>
  <w:num w:numId="34" w16cid:durableId="939146067">
    <w:abstractNumId w:val="6"/>
  </w:num>
  <w:num w:numId="35" w16cid:durableId="1179849622">
    <w:abstractNumId w:val="21"/>
    <w:lvlOverride w:ilvl="0">
      <w:startOverride w:val="1"/>
    </w:lvlOverride>
  </w:num>
  <w:num w:numId="36" w16cid:durableId="1204947492">
    <w:abstractNumId w:val="21"/>
    <w:lvlOverride w:ilvl="0">
      <w:startOverride w:val="1"/>
    </w:lvlOverride>
  </w:num>
  <w:num w:numId="37" w16cid:durableId="2022269559">
    <w:abstractNumId w:val="21"/>
    <w:lvlOverride w:ilvl="0">
      <w:startOverride w:val="1"/>
    </w:lvlOverride>
  </w:num>
  <w:num w:numId="38" w16cid:durableId="1602104065">
    <w:abstractNumId w:val="21"/>
    <w:lvlOverride w:ilvl="0">
      <w:startOverride w:val="1"/>
    </w:lvlOverride>
  </w:num>
  <w:num w:numId="39" w16cid:durableId="36199038">
    <w:abstractNumId w:val="21"/>
    <w:lvlOverride w:ilvl="0">
      <w:startOverride w:val="1"/>
    </w:lvlOverride>
  </w:num>
  <w:num w:numId="40" w16cid:durableId="2047901003">
    <w:abstractNumId w:val="1"/>
    <w:lvlOverride w:ilvl="0">
      <w:startOverride w:val="1"/>
    </w:lvlOverride>
  </w:num>
  <w:num w:numId="41" w16cid:durableId="182940337">
    <w:abstractNumId w:val="1"/>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doNotDisplayPageBoundari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35"/>
    <w:rsid w:val="00000881"/>
    <w:rsid w:val="000009B8"/>
    <w:rsid w:val="00000BDD"/>
    <w:rsid w:val="00000CCC"/>
    <w:rsid w:val="00000FF7"/>
    <w:rsid w:val="00001063"/>
    <w:rsid w:val="00001085"/>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24A"/>
    <w:rsid w:val="00006278"/>
    <w:rsid w:val="0000641B"/>
    <w:rsid w:val="0000693D"/>
    <w:rsid w:val="00006CB4"/>
    <w:rsid w:val="00006E91"/>
    <w:rsid w:val="00006F35"/>
    <w:rsid w:val="0000713D"/>
    <w:rsid w:val="00007182"/>
    <w:rsid w:val="00007270"/>
    <w:rsid w:val="000073DE"/>
    <w:rsid w:val="00007440"/>
    <w:rsid w:val="000076AB"/>
    <w:rsid w:val="00007776"/>
    <w:rsid w:val="00007934"/>
    <w:rsid w:val="000079DB"/>
    <w:rsid w:val="00007B97"/>
    <w:rsid w:val="00007E1A"/>
    <w:rsid w:val="00007F4D"/>
    <w:rsid w:val="00010039"/>
    <w:rsid w:val="000103F1"/>
    <w:rsid w:val="0001051E"/>
    <w:rsid w:val="0001058E"/>
    <w:rsid w:val="000107FD"/>
    <w:rsid w:val="0001087C"/>
    <w:rsid w:val="00010A6B"/>
    <w:rsid w:val="00010AAF"/>
    <w:rsid w:val="00010B6C"/>
    <w:rsid w:val="00010BEB"/>
    <w:rsid w:val="00010CDE"/>
    <w:rsid w:val="00010D98"/>
    <w:rsid w:val="00010E3E"/>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20C9"/>
    <w:rsid w:val="00012268"/>
    <w:rsid w:val="0001232C"/>
    <w:rsid w:val="000123F6"/>
    <w:rsid w:val="000124A4"/>
    <w:rsid w:val="00012804"/>
    <w:rsid w:val="00012819"/>
    <w:rsid w:val="00012935"/>
    <w:rsid w:val="00012EDA"/>
    <w:rsid w:val="0001313C"/>
    <w:rsid w:val="00013391"/>
    <w:rsid w:val="00013A0E"/>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9FB"/>
    <w:rsid w:val="00022A4D"/>
    <w:rsid w:val="00022CD8"/>
    <w:rsid w:val="00022FAC"/>
    <w:rsid w:val="000230BE"/>
    <w:rsid w:val="000231C6"/>
    <w:rsid w:val="00023597"/>
    <w:rsid w:val="00023812"/>
    <w:rsid w:val="00023B72"/>
    <w:rsid w:val="00023D86"/>
    <w:rsid w:val="00023DE9"/>
    <w:rsid w:val="00024251"/>
    <w:rsid w:val="00024614"/>
    <w:rsid w:val="00024CED"/>
    <w:rsid w:val="00024E3E"/>
    <w:rsid w:val="00024F0E"/>
    <w:rsid w:val="000254E6"/>
    <w:rsid w:val="00025664"/>
    <w:rsid w:val="000257AF"/>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130D"/>
    <w:rsid w:val="00031570"/>
    <w:rsid w:val="00031BB8"/>
    <w:rsid w:val="00031FFC"/>
    <w:rsid w:val="000323F1"/>
    <w:rsid w:val="0003288D"/>
    <w:rsid w:val="000328C6"/>
    <w:rsid w:val="00032D27"/>
    <w:rsid w:val="00032D50"/>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51E"/>
    <w:rsid w:val="00037DFA"/>
    <w:rsid w:val="00040035"/>
    <w:rsid w:val="00040399"/>
    <w:rsid w:val="00040410"/>
    <w:rsid w:val="00040598"/>
    <w:rsid w:val="00040649"/>
    <w:rsid w:val="00040A8D"/>
    <w:rsid w:val="00040CF4"/>
    <w:rsid w:val="00040CFD"/>
    <w:rsid w:val="00040D7F"/>
    <w:rsid w:val="00040E68"/>
    <w:rsid w:val="00040ED3"/>
    <w:rsid w:val="00040FE8"/>
    <w:rsid w:val="00041390"/>
    <w:rsid w:val="00041485"/>
    <w:rsid w:val="00041495"/>
    <w:rsid w:val="00041689"/>
    <w:rsid w:val="000418B6"/>
    <w:rsid w:val="0004192A"/>
    <w:rsid w:val="00041B05"/>
    <w:rsid w:val="00041DB4"/>
    <w:rsid w:val="000420B5"/>
    <w:rsid w:val="000420E9"/>
    <w:rsid w:val="00042101"/>
    <w:rsid w:val="00042125"/>
    <w:rsid w:val="000424D2"/>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DB9"/>
    <w:rsid w:val="00047194"/>
    <w:rsid w:val="0004724B"/>
    <w:rsid w:val="000472CE"/>
    <w:rsid w:val="00047488"/>
    <w:rsid w:val="0004753B"/>
    <w:rsid w:val="00047721"/>
    <w:rsid w:val="00047BAC"/>
    <w:rsid w:val="00047C57"/>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E50"/>
    <w:rsid w:val="00052BA0"/>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F51"/>
    <w:rsid w:val="00062F93"/>
    <w:rsid w:val="000632E0"/>
    <w:rsid w:val="000633B0"/>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9E"/>
    <w:rsid w:val="00066FB1"/>
    <w:rsid w:val="00066FD4"/>
    <w:rsid w:val="000673B4"/>
    <w:rsid w:val="00067462"/>
    <w:rsid w:val="00067666"/>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952"/>
    <w:rsid w:val="00071963"/>
    <w:rsid w:val="00071A70"/>
    <w:rsid w:val="00071E96"/>
    <w:rsid w:val="00072004"/>
    <w:rsid w:val="00072143"/>
    <w:rsid w:val="00072410"/>
    <w:rsid w:val="000724AC"/>
    <w:rsid w:val="00072715"/>
    <w:rsid w:val="00072AAD"/>
    <w:rsid w:val="00072B3A"/>
    <w:rsid w:val="00072D47"/>
    <w:rsid w:val="00072FCC"/>
    <w:rsid w:val="00073013"/>
    <w:rsid w:val="0007304C"/>
    <w:rsid w:val="00073121"/>
    <w:rsid w:val="0007363D"/>
    <w:rsid w:val="000736C4"/>
    <w:rsid w:val="0007384B"/>
    <w:rsid w:val="000739F5"/>
    <w:rsid w:val="00073AC1"/>
    <w:rsid w:val="00073DED"/>
    <w:rsid w:val="00074160"/>
    <w:rsid w:val="00074686"/>
    <w:rsid w:val="000748C5"/>
    <w:rsid w:val="00074F26"/>
    <w:rsid w:val="000750FC"/>
    <w:rsid w:val="00075288"/>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C4"/>
    <w:rsid w:val="000816FA"/>
    <w:rsid w:val="00081919"/>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CBB"/>
    <w:rsid w:val="00086D1B"/>
    <w:rsid w:val="00086F3F"/>
    <w:rsid w:val="0008707B"/>
    <w:rsid w:val="000871E6"/>
    <w:rsid w:val="0008722B"/>
    <w:rsid w:val="00087527"/>
    <w:rsid w:val="000877D8"/>
    <w:rsid w:val="00087F0E"/>
    <w:rsid w:val="00087F3A"/>
    <w:rsid w:val="00087FCA"/>
    <w:rsid w:val="000901C2"/>
    <w:rsid w:val="000902D9"/>
    <w:rsid w:val="000903B9"/>
    <w:rsid w:val="000903F4"/>
    <w:rsid w:val="000903FB"/>
    <w:rsid w:val="00090520"/>
    <w:rsid w:val="00090834"/>
    <w:rsid w:val="00090A51"/>
    <w:rsid w:val="00090E49"/>
    <w:rsid w:val="00090F9F"/>
    <w:rsid w:val="000910E8"/>
    <w:rsid w:val="0009140C"/>
    <w:rsid w:val="0009142D"/>
    <w:rsid w:val="0009157E"/>
    <w:rsid w:val="000917D8"/>
    <w:rsid w:val="00091A6F"/>
    <w:rsid w:val="00091C60"/>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F66"/>
    <w:rsid w:val="000A10B3"/>
    <w:rsid w:val="000A18A4"/>
    <w:rsid w:val="000A1F2C"/>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223"/>
    <w:rsid w:val="000B14A5"/>
    <w:rsid w:val="000B171F"/>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6B3"/>
    <w:rsid w:val="000B46CD"/>
    <w:rsid w:val="000B46FC"/>
    <w:rsid w:val="000B4761"/>
    <w:rsid w:val="000B4A3D"/>
    <w:rsid w:val="000B4C09"/>
    <w:rsid w:val="000B51BE"/>
    <w:rsid w:val="000B5363"/>
    <w:rsid w:val="000B53B1"/>
    <w:rsid w:val="000B5890"/>
    <w:rsid w:val="000B5966"/>
    <w:rsid w:val="000B5B9F"/>
    <w:rsid w:val="000B61C7"/>
    <w:rsid w:val="000B62B6"/>
    <w:rsid w:val="000B67DE"/>
    <w:rsid w:val="000B68FE"/>
    <w:rsid w:val="000B69A3"/>
    <w:rsid w:val="000B6ADA"/>
    <w:rsid w:val="000B6C39"/>
    <w:rsid w:val="000B6CC0"/>
    <w:rsid w:val="000B719F"/>
    <w:rsid w:val="000B73CE"/>
    <w:rsid w:val="000B73E6"/>
    <w:rsid w:val="000B76EC"/>
    <w:rsid w:val="000B773F"/>
    <w:rsid w:val="000B7874"/>
    <w:rsid w:val="000B7933"/>
    <w:rsid w:val="000B79C8"/>
    <w:rsid w:val="000B7A74"/>
    <w:rsid w:val="000B7E8F"/>
    <w:rsid w:val="000B7EC0"/>
    <w:rsid w:val="000B7F33"/>
    <w:rsid w:val="000C029D"/>
    <w:rsid w:val="000C083E"/>
    <w:rsid w:val="000C1004"/>
    <w:rsid w:val="000C14EB"/>
    <w:rsid w:val="000C16BF"/>
    <w:rsid w:val="000C1C1D"/>
    <w:rsid w:val="000C1CE0"/>
    <w:rsid w:val="000C1DBD"/>
    <w:rsid w:val="000C1EB7"/>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68C"/>
    <w:rsid w:val="000C46A7"/>
    <w:rsid w:val="000C4709"/>
    <w:rsid w:val="000C47D8"/>
    <w:rsid w:val="000C488B"/>
    <w:rsid w:val="000C4D72"/>
    <w:rsid w:val="000C5137"/>
    <w:rsid w:val="000C5455"/>
    <w:rsid w:val="000C54E6"/>
    <w:rsid w:val="000C58CD"/>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23D"/>
    <w:rsid w:val="000D3265"/>
    <w:rsid w:val="000D3545"/>
    <w:rsid w:val="000D3557"/>
    <w:rsid w:val="000D387C"/>
    <w:rsid w:val="000D3B42"/>
    <w:rsid w:val="000D3CE7"/>
    <w:rsid w:val="000D402F"/>
    <w:rsid w:val="000D4031"/>
    <w:rsid w:val="000D4173"/>
    <w:rsid w:val="000D49AF"/>
    <w:rsid w:val="000D4AAB"/>
    <w:rsid w:val="000D4C93"/>
    <w:rsid w:val="000D51F6"/>
    <w:rsid w:val="000D58AC"/>
    <w:rsid w:val="000D59C9"/>
    <w:rsid w:val="000D5B56"/>
    <w:rsid w:val="000D5B5E"/>
    <w:rsid w:val="000D5E09"/>
    <w:rsid w:val="000D6370"/>
    <w:rsid w:val="000D64D0"/>
    <w:rsid w:val="000D675F"/>
    <w:rsid w:val="000D6916"/>
    <w:rsid w:val="000D7105"/>
    <w:rsid w:val="000D7135"/>
    <w:rsid w:val="000D733C"/>
    <w:rsid w:val="000D73A0"/>
    <w:rsid w:val="000D752D"/>
    <w:rsid w:val="000D76DA"/>
    <w:rsid w:val="000D7D1E"/>
    <w:rsid w:val="000D7DE0"/>
    <w:rsid w:val="000D7F36"/>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CE"/>
    <w:rsid w:val="000E5762"/>
    <w:rsid w:val="000E5C43"/>
    <w:rsid w:val="000E5C4A"/>
    <w:rsid w:val="000E5D3B"/>
    <w:rsid w:val="000E5E34"/>
    <w:rsid w:val="000E5E74"/>
    <w:rsid w:val="000E5F6D"/>
    <w:rsid w:val="000E5FCF"/>
    <w:rsid w:val="000E6231"/>
    <w:rsid w:val="000E63A5"/>
    <w:rsid w:val="000E6478"/>
    <w:rsid w:val="000E64B3"/>
    <w:rsid w:val="000E6815"/>
    <w:rsid w:val="000E6A6A"/>
    <w:rsid w:val="000E6ACC"/>
    <w:rsid w:val="000E6AD4"/>
    <w:rsid w:val="000E6CB2"/>
    <w:rsid w:val="000E6E04"/>
    <w:rsid w:val="000E6E77"/>
    <w:rsid w:val="000E6F11"/>
    <w:rsid w:val="000E78FA"/>
    <w:rsid w:val="000E7A41"/>
    <w:rsid w:val="000E7A84"/>
    <w:rsid w:val="000F001D"/>
    <w:rsid w:val="000F03CE"/>
    <w:rsid w:val="000F05D4"/>
    <w:rsid w:val="000F0940"/>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5B8"/>
    <w:rsid w:val="000F3730"/>
    <w:rsid w:val="000F3907"/>
    <w:rsid w:val="000F39FE"/>
    <w:rsid w:val="000F3E18"/>
    <w:rsid w:val="000F3FB2"/>
    <w:rsid w:val="000F42CA"/>
    <w:rsid w:val="000F471B"/>
    <w:rsid w:val="000F49CB"/>
    <w:rsid w:val="000F4C62"/>
    <w:rsid w:val="000F4F12"/>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11D4"/>
    <w:rsid w:val="0010129D"/>
    <w:rsid w:val="0010133A"/>
    <w:rsid w:val="00101681"/>
    <w:rsid w:val="001019F0"/>
    <w:rsid w:val="00101E52"/>
    <w:rsid w:val="00101E5C"/>
    <w:rsid w:val="001020B9"/>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330"/>
    <w:rsid w:val="00111791"/>
    <w:rsid w:val="001117D4"/>
    <w:rsid w:val="001117FB"/>
    <w:rsid w:val="00111D03"/>
    <w:rsid w:val="00111DC1"/>
    <w:rsid w:val="00111E80"/>
    <w:rsid w:val="00111EA5"/>
    <w:rsid w:val="001120D4"/>
    <w:rsid w:val="00112557"/>
    <w:rsid w:val="00112737"/>
    <w:rsid w:val="001129A4"/>
    <w:rsid w:val="00112A74"/>
    <w:rsid w:val="00112E56"/>
    <w:rsid w:val="00112E75"/>
    <w:rsid w:val="001131D8"/>
    <w:rsid w:val="00113386"/>
    <w:rsid w:val="00113500"/>
    <w:rsid w:val="0011354B"/>
    <w:rsid w:val="00113AEE"/>
    <w:rsid w:val="00114060"/>
    <w:rsid w:val="00114114"/>
    <w:rsid w:val="00114380"/>
    <w:rsid w:val="00114433"/>
    <w:rsid w:val="00114473"/>
    <w:rsid w:val="00114599"/>
    <w:rsid w:val="00114616"/>
    <w:rsid w:val="00114A20"/>
    <w:rsid w:val="00114CE3"/>
    <w:rsid w:val="00114DD3"/>
    <w:rsid w:val="00114F26"/>
    <w:rsid w:val="00114FF7"/>
    <w:rsid w:val="0011596F"/>
    <w:rsid w:val="001161CD"/>
    <w:rsid w:val="001162D9"/>
    <w:rsid w:val="001165C4"/>
    <w:rsid w:val="001167EC"/>
    <w:rsid w:val="0011688C"/>
    <w:rsid w:val="00116B22"/>
    <w:rsid w:val="00116C17"/>
    <w:rsid w:val="0011726B"/>
    <w:rsid w:val="0011735B"/>
    <w:rsid w:val="0011763A"/>
    <w:rsid w:val="00117847"/>
    <w:rsid w:val="00117AAF"/>
    <w:rsid w:val="00117B21"/>
    <w:rsid w:val="00117BD5"/>
    <w:rsid w:val="00117C43"/>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9E"/>
    <w:rsid w:val="00122FF6"/>
    <w:rsid w:val="0012304C"/>
    <w:rsid w:val="00123226"/>
    <w:rsid w:val="00123270"/>
    <w:rsid w:val="00123670"/>
    <w:rsid w:val="00123785"/>
    <w:rsid w:val="001238EF"/>
    <w:rsid w:val="00123A10"/>
    <w:rsid w:val="00123A6E"/>
    <w:rsid w:val="00123B25"/>
    <w:rsid w:val="00123DBE"/>
    <w:rsid w:val="00123E7C"/>
    <w:rsid w:val="00123E9C"/>
    <w:rsid w:val="00124357"/>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42F"/>
    <w:rsid w:val="00133907"/>
    <w:rsid w:val="00133AFD"/>
    <w:rsid w:val="00133C0D"/>
    <w:rsid w:val="00133E0D"/>
    <w:rsid w:val="0013432F"/>
    <w:rsid w:val="001347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71"/>
    <w:rsid w:val="001420E6"/>
    <w:rsid w:val="00142825"/>
    <w:rsid w:val="00142FEB"/>
    <w:rsid w:val="001437A5"/>
    <w:rsid w:val="00143AF1"/>
    <w:rsid w:val="001441C8"/>
    <w:rsid w:val="00144310"/>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3"/>
    <w:rsid w:val="00147973"/>
    <w:rsid w:val="00147A38"/>
    <w:rsid w:val="00147DF5"/>
    <w:rsid w:val="00147F58"/>
    <w:rsid w:val="001500B6"/>
    <w:rsid w:val="00150249"/>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B98"/>
    <w:rsid w:val="00153BE1"/>
    <w:rsid w:val="00153E15"/>
    <w:rsid w:val="00153FDC"/>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489"/>
    <w:rsid w:val="001575AC"/>
    <w:rsid w:val="00157638"/>
    <w:rsid w:val="00157884"/>
    <w:rsid w:val="001579E8"/>
    <w:rsid w:val="00160087"/>
    <w:rsid w:val="0016026D"/>
    <w:rsid w:val="001607E3"/>
    <w:rsid w:val="00160CA5"/>
    <w:rsid w:val="00160CD0"/>
    <w:rsid w:val="00161053"/>
    <w:rsid w:val="001611E7"/>
    <w:rsid w:val="00161252"/>
    <w:rsid w:val="0016127F"/>
    <w:rsid w:val="0016130D"/>
    <w:rsid w:val="00161411"/>
    <w:rsid w:val="00161421"/>
    <w:rsid w:val="001617B7"/>
    <w:rsid w:val="00161810"/>
    <w:rsid w:val="0016184E"/>
    <w:rsid w:val="0016233E"/>
    <w:rsid w:val="00162362"/>
    <w:rsid w:val="00162718"/>
    <w:rsid w:val="001628C4"/>
    <w:rsid w:val="00162D27"/>
    <w:rsid w:val="00162D82"/>
    <w:rsid w:val="00162ED7"/>
    <w:rsid w:val="001630BE"/>
    <w:rsid w:val="001630EB"/>
    <w:rsid w:val="00163122"/>
    <w:rsid w:val="001631B7"/>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E54"/>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F99"/>
    <w:rsid w:val="001814F6"/>
    <w:rsid w:val="0018152F"/>
    <w:rsid w:val="00181918"/>
    <w:rsid w:val="00181E2A"/>
    <w:rsid w:val="00182221"/>
    <w:rsid w:val="0018222E"/>
    <w:rsid w:val="00182299"/>
    <w:rsid w:val="001824D6"/>
    <w:rsid w:val="00182601"/>
    <w:rsid w:val="001826A0"/>
    <w:rsid w:val="001829F5"/>
    <w:rsid w:val="00182A9B"/>
    <w:rsid w:val="00182C21"/>
    <w:rsid w:val="00182CD0"/>
    <w:rsid w:val="00182EC6"/>
    <w:rsid w:val="00183233"/>
    <w:rsid w:val="0018395E"/>
    <w:rsid w:val="00183C8D"/>
    <w:rsid w:val="00183D50"/>
    <w:rsid w:val="001840A1"/>
    <w:rsid w:val="00184183"/>
    <w:rsid w:val="001842D6"/>
    <w:rsid w:val="0018431E"/>
    <w:rsid w:val="0018433F"/>
    <w:rsid w:val="001847A2"/>
    <w:rsid w:val="00184960"/>
    <w:rsid w:val="00184C6B"/>
    <w:rsid w:val="00184CFD"/>
    <w:rsid w:val="00185598"/>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902AD"/>
    <w:rsid w:val="00190856"/>
    <w:rsid w:val="00190A78"/>
    <w:rsid w:val="00190BFD"/>
    <w:rsid w:val="00190EB8"/>
    <w:rsid w:val="001910A6"/>
    <w:rsid w:val="00191493"/>
    <w:rsid w:val="0019155E"/>
    <w:rsid w:val="0019159D"/>
    <w:rsid w:val="0019171C"/>
    <w:rsid w:val="001918E3"/>
    <w:rsid w:val="00191D85"/>
    <w:rsid w:val="00191FB1"/>
    <w:rsid w:val="0019263D"/>
    <w:rsid w:val="0019284D"/>
    <w:rsid w:val="00192972"/>
    <w:rsid w:val="00192A36"/>
    <w:rsid w:val="00192AC8"/>
    <w:rsid w:val="00192C1A"/>
    <w:rsid w:val="00192DCE"/>
    <w:rsid w:val="00193073"/>
    <w:rsid w:val="0019312C"/>
    <w:rsid w:val="00193500"/>
    <w:rsid w:val="001935E9"/>
    <w:rsid w:val="00193669"/>
    <w:rsid w:val="0019383D"/>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6C"/>
    <w:rsid w:val="00195471"/>
    <w:rsid w:val="0019551C"/>
    <w:rsid w:val="00195BBE"/>
    <w:rsid w:val="00195BD6"/>
    <w:rsid w:val="00196038"/>
    <w:rsid w:val="0019630E"/>
    <w:rsid w:val="001964DE"/>
    <w:rsid w:val="001969AA"/>
    <w:rsid w:val="00196C48"/>
    <w:rsid w:val="00196DA3"/>
    <w:rsid w:val="001972CF"/>
    <w:rsid w:val="001974A4"/>
    <w:rsid w:val="001976F1"/>
    <w:rsid w:val="001979D4"/>
    <w:rsid w:val="001A0149"/>
    <w:rsid w:val="001A01A4"/>
    <w:rsid w:val="001A01C1"/>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74A"/>
    <w:rsid w:val="001A28D2"/>
    <w:rsid w:val="001A2BA0"/>
    <w:rsid w:val="001A312B"/>
    <w:rsid w:val="001A325D"/>
    <w:rsid w:val="001A3307"/>
    <w:rsid w:val="001A36D3"/>
    <w:rsid w:val="001A3773"/>
    <w:rsid w:val="001A37C1"/>
    <w:rsid w:val="001A3A62"/>
    <w:rsid w:val="001A3EF8"/>
    <w:rsid w:val="001A3FE7"/>
    <w:rsid w:val="001A4229"/>
    <w:rsid w:val="001A4390"/>
    <w:rsid w:val="001A4474"/>
    <w:rsid w:val="001A47B8"/>
    <w:rsid w:val="001A49F3"/>
    <w:rsid w:val="001A4BFA"/>
    <w:rsid w:val="001A4C73"/>
    <w:rsid w:val="001A4D7B"/>
    <w:rsid w:val="001A4F65"/>
    <w:rsid w:val="001A5425"/>
    <w:rsid w:val="001A54F0"/>
    <w:rsid w:val="001A569C"/>
    <w:rsid w:val="001A5761"/>
    <w:rsid w:val="001A57E0"/>
    <w:rsid w:val="001A57F7"/>
    <w:rsid w:val="001A5932"/>
    <w:rsid w:val="001A5B1B"/>
    <w:rsid w:val="001A5B6A"/>
    <w:rsid w:val="001A5F41"/>
    <w:rsid w:val="001A6323"/>
    <w:rsid w:val="001A63A9"/>
    <w:rsid w:val="001A68DA"/>
    <w:rsid w:val="001A6919"/>
    <w:rsid w:val="001A6A39"/>
    <w:rsid w:val="001A6A67"/>
    <w:rsid w:val="001A6A9A"/>
    <w:rsid w:val="001A6D87"/>
    <w:rsid w:val="001A7018"/>
    <w:rsid w:val="001A7EF0"/>
    <w:rsid w:val="001A7FE2"/>
    <w:rsid w:val="001B0198"/>
    <w:rsid w:val="001B0262"/>
    <w:rsid w:val="001B0668"/>
    <w:rsid w:val="001B0701"/>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A4"/>
    <w:rsid w:val="001B2E24"/>
    <w:rsid w:val="001B2FBF"/>
    <w:rsid w:val="001B39E3"/>
    <w:rsid w:val="001B3CC0"/>
    <w:rsid w:val="001B3DAC"/>
    <w:rsid w:val="001B3E27"/>
    <w:rsid w:val="001B465A"/>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948"/>
    <w:rsid w:val="001C1BE6"/>
    <w:rsid w:val="001C1D57"/>
    <w:rsid w:val="001C1F6A"/>
    <w:rsid w:val="001C236F"/>
    <w:rsid w:val="001C29F6"/>
    <w:rsid w:val="001C2A42"/>
    <w:rsid w:val="001C2CD4"/>
    <w:rsid w:val="001C3523"/>
    <w:rsid w:val="001C35B0"/>
    <w:rsid w:val="001C3919"/>
    <w:rsid w:val="001C3981"/>
    <w:rsid w:val="001C3D3D"/>
    <w:rsid w:val="001C4169"/>
    <w:rsid w:val="001C4204"/>
    <w:rsid w:val="001C420C"/>
    <w:rsid w:val="001C4519"/>
    <w:rsid w:val="001C4820"/>
    <w:rsid w:val="001C4A40"/>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9C0"/>
    <w:rsid w:val="001C6D51"/>
    <w:rsid w:val="001C708A"/>
    <w:rsid w:val="001C7253"/>
    <w:rsid w:val="001C7309"/>
    <w:rsid w:val="001C7447"/>
    <w:rsid w:val="001C754F"/>
    <w:rsid w:val="001C76FA"/>
    <w:rsid w:val="001C77E2"/>
    <w:rsid w:val="001C78E7"/>
    <w:rsid w:val="001C7B9F"/>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81F"/>
    <w:rsid w:val="001D19B5"/>
    <w:rsid w:val="001D1A12"/>
    <w:rsid w:val="001D1CB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FBB"/>
    <w:rsid w:val="001D51CB"/>
    <w:rsid w:val="001D5210"/>
    <w:rsid w:val="001D5404"/>
    <w:rsid w:val="001D5C3F"/>
    <w:rsid w:val="001D5C7D"/>
    <w:rsid w:val="001D5F4E"/>
    <w:rsid w:val="001D6004"/>
    <w:rsid w:val="001D625C"/>
    <w:rsid w:val="001D6861"/>
    <w:rsid w:val="001D68C2"/>
    <w:rsid w:val="001D6A64"/>
    <w:rsid w:val="001D6C4E"/>
    <w:rsid w:val="001D6C69"/>
    <w:rsid w:val="001D6FCA"/>
    <w:rsid w:val="001D71D5"/>
    <w:rsid w:val="001D72C5"/>
    <w:rsid w:val="001D74B7"/>
    <w:rsid w:val="001D793B"/>
    <w:rsid w:val="001D7940"/>
    <w:rsid w:val="001D7AC1"/>
    <w:rsid w:val="001D7BF1"/>
    <w:rsid w:val="001D7C38"/>
    <w:rsid w:val="001D7CC9"/>
    <w:rsid w:val="001D7CCB"/>
    <w:rsid w:val="001D7D8B"/>
    <w:rsid w:val="001D7DA5"/>
    <w:rsid w:val="001E027F"/>
    <w:rsid w:val="001E0578"/>
    <w:rsid w:val="001E0840"/>
    <w:rsid w:val="001E0B9C"/>
    <w:rsid w:val="001E0D9B"/>
    <w:rsid w:val="001E10AE"/>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998"/>
    <w:rsid w:val="001E3C50"/>
    <w:rsid w:val="001E3D14"/>
    <w:rsid w:val="001E3F9E"/>
    <w:rsid w:val="001E44C8"/>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FB"/>
    <w:rsid w:val="001F1C78"/>
    <w:rsid w:val="001F1C84"/>
    <w:rsid w:val="001F1EC0"/>
    <w:rsid w:val="001F2364"/>
    <w:rsid w:val="001F25AF"/>
    <w:rsid w:val="001F28D4"/>
    <w:rsid w:val="001F2907"/>
    <w:rsid w:val="001F2BF3"/>
    <w:rsid w:val="001F2CF2"/>
    <w:rsid w:val="001F2D4F"/>
    <w:rsid w:val="001F3478"/>
    <w:rsid w:val="001F3489"/>
    <w:rsid w:val="001F3A07"/>
    <w:rsid w:val="001F3C6F"/>
    <w:rsid w:val="001F3CA6"/>
    <w:rsid w:val="001F3F09"/>
    <w:rsid w:val="001F3F42"/>
    <w:rsid w:val="001F43C1"/>
    <w:rsid w:val="001F4491"/>
    <w:rsid w:val="001F4981"/>
    <w:rsid w:val="001F4A6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40"/>
    <w:rsid w:val="001F6657"/>
    <w:rsid w:val="001F6733"/>
    <w:rsid w:val="001F6806"/>
    <w:rsid w:val="001F690B"/>
    <w:rsid w:val="001F6969"/>
    <w:rsid w:val="001F6A17"/>
    <w:rsid w:val="001F7153"/>
    <w:rsid w:val="001F72B1"/>
    <w:rsid w:val="001F72C0"/>
    <w:rsid w:val="001F7605"/>
    <w:rsid w:val="001F7620"/>
    <w:rsid w:val="001F7B6E"/>
    <w:rsid w:val="001F7E0C"/>
    <w:rsid w:val="001F7E36"/>
    <w:rsid w:val="001F7FC2"/>
    <w:rsid w:val="0020033D"/>
    <w:rsid w:val="0020046D"/>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89C"/>
    <w:rsid w:val="00204B9E"/>
    <w:rsid w:val="00204D0D"/>
    <w:rsid w:val="00205047"/>
    <w:rsid w:val="0020509D"/>
    <w:rsid w:val="00205189"/>
    <w:rsid w:val="002053AF"/>
    <w:rsid w:val="00205755"/>
    <w:rsid w:val="00205B23"/>
    <w:rsid w:val="00205EB6"/>
    <w:rsid w:val="00205FAB"/>
    <w:rsid w:val="00205FED"/>
    <w:rsid w:val="002060C9"/>
    <w:rsid w:val="00206142"/>
    <w:rsid w:val="002061DE"/>
    <w:rsid w:val="0020637D"/>
    <w:rsid w:val="002063B0"/>
    <w:rsid w:val="002063D1"/>
    <w:rsid w:val="00206601"/>
    <w:rsid w:val="00206A47"/>
    <w:rsid w:val="00206C39"/>
    <w:rsid w:val="00206CA8"/>
    <w:rsid w:val="00206D2B"/>
    <w:rsid w:val="00206D89"/>
    <w:rsid w:val="00206FA7"/>
    <w:rsid w:val="00207259"/>
    <w:rsid w:val="002074BA"/>
    <w:rsid w:val="00207511"/>
    <w:rsid w:val="002077F4"/>
    <w:rsid w:val="00207C04"/>
    <w:rsid w:val="00207CDD"/>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30BF"/>
    <w:rsid w:val="002130DC"/>
    <w:rsid w:val="002131F3"/>
    <w:rsid w:val="002133DE"/>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3B"/>
    <w:rsid w:val="00216931"/>
    <w:rsid w:val="00216A1B"/>
    <w:rsid w:val="00216B68"/>
    <w:rsid w:val="00216EF1"/>
    <w:rsid w:val="00217076"/>
    <w:rsid w:val="00217288"/>
    <w:rsid w:val="0021742E"/>
    <w:rsid w:val="00217446"/>
    <w:rsid w:val="002174FD"/>
    <w:rsid w:val="00217703"/>
    <w:rsid w:val="00217D5E"/>
    <w:rsid w:val="00220005"/>
    <w:rsid w:val="00220116"/>
    <w:rsid w:val="002201CA"/>
    <w:rsid w:val="0022021B"/>
    <w:rsid w:val="002203B6"/>
    <w:rsid w:val="002204F3"/>
    <w:rsid w:val="002205D9"/>
    <w:rsid w:val="002208F8"/>
    <w:rsid w:val="00220A0F"/>
    <w:rsid w:val="00220BC8"/>
    <w:rsid w:val="00220F79"/>
    <w:rsid w:val="0022121F"/>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637"/>
    <w:rsid w:val="002249DD"/>
    <w:rsid w:val="00224C83"/>
    <w:rsid w:val="00225046"/>
    <w:rsid w:val="00225110"/>
    <w:rsid w:val="00225184"/>
    <w:rsid w:val="0022530B"/>
    <w:rsid w:val="00225665"/>
    <w:rsid w:val="002256EB"/>
    <w:rsid w:val="00225733"/>
    <w:rsid w:val="00225907"/>
    <w:rsid w:val="00225943"/>
    <w:rsid w:val="002259C7"/>
    <w:rsid w:val="00225C88"/>
    <w:rsid w:val="00226077"/>
    <w:rsid w:val="00226290"/>
    <w:rsid w:val="00226327"/>
    <w:rsid w:val="00226356"/>
    <w:rsid w:val="002263CB"/>
    <w:rsid w:val="002265BD"/>
    <w:rsid w:val="0022664F"/>
    <w:rsid w:val="0022681B"/>
    <w:rsid w:val="0022719A"/>
    <w:rsid w:val="00227D2F"/>
    <w:rsid w:val="00227E33"/>
    <w:rsid w:val="00227F0A"/>
    <w:rsid w:val="00227F0B"/>
    <w:rsid w:val="00227F90"/>
    <w:rsid w:val="00230271"/>
    <w:rsid w:val="0023051B"/>
    <w:rsid w:val="0023081F"/>
    <w:rsid w:val="00230C96"/>
    <w:rsid w:val="00230FE8"/>
    <w:rsid w:val="00230FED"/>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7062"/>
    <w:rsid w:val="00237184"/>
    <w:rsid w:val="002372C0"/>
    <w:rsid w:val="002375A1"/>
    <w:rsid w:val="0023790F"/>
    <w:rsid w:val="00237C25"/>
    <w:rsid w:val="00240481"/>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B2D"/>
    <w:rsid w:val="00242DF4"/>
    <w:rsid w:val="002432CB"/>
    <w:rsid w:val="0024348A"/>
    <w:rsid w:val="00243597"/>
    <w:rsid w:val="002435EA"/>
    <w:rsid w:val="0024367C"/>
    <w:rsid w:val="00243742"/>
    <w:rsid w:val="002439F3"/>
    <w:rsid w:val="00243A15"/>
    <w:rsid w:val="00243D8A"/>
    <w:rsid w:val="0024407A"/>
    <w:rsid w:val="0024428B"/>
    <w:rsid w:val="002446D7"/>
    <w:rsid w:val="002446ED"/>
    <w:rsid w:val="0024495F"/>
    <w:rsid w:val="00244A9F"/>
    <w:rsid w:val="00245040"/>
    <w:rsid w:val="002451ED"/>
    <w:rsid w:val="002452B9"/>
    <w:rsid w:val="0024555B"/>
    <w:rsid w:val="0024582D"/>
    <w:rsid w:val="00245C6B"/>
    <w:rsid w:val="00245CC0"/>
    <w:rsid w:val="00245D34"/>
    <w:rsid w:val="00245E6F"/>
    <w:rsid w:val="00245EB4"/>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DC"/>
    <w:rsid w:val="00251F40"/>
    <w:rsid w:val="00252920"/>
    <w:rsid w:val="00252971"/>
    <w:rsid w:val="00252E06"/>
    <w:rsid w:val="00252EBB"/>
    <w:rsid w:val="00252F66"/>
    <w:rsid w:val="00252FD5"/>
    <w:rsid w:val="00252FDC"/>
    <w:rsid w:val="00253303"/>
    <w:rsid w:val="002534B3"/>
    <w:rsid w:val="00253B14"/>
    <w:rsid w:val="00253BF3"/>
    <w:rsid w:val="00253C2B"/>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B2"/>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63E"/>
    <w:rsid w:val="00265994"/>
    <w:rsid w:val="002659F3"/>
    <w:rsid w:val="00265C5C"/>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66E"/>
    <w:rsid w:val="00271760"/>
    <w:rsid w:val="00271996"/>
    <w:rsid w:val="00271A7B"/>
    <w:rsid w:val="00271B66"/>
    <w:rsid w:val="00271BB5"/>
    <w:rsid w:val="00271E09"/>
    <w:rsid w:val="00271F83"/>
    <w:rsid w:val="00272113"/>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69"/>
    <w:rsid w:val="00286CB7"/>
    <w:rsid w:val="00286D0A"/>
    <w:rsid w:val="00286E34"/>
    <w:rsid w:val="0028739F"/>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08B"/>
    <w:rsid w:val="00293167"/>
    <w:rsid w:val="002932E0"/>
    <w:rsid w:val="0029330E"/>
    <w:rsid w:val="002937F7"/>
    <w:rsid w:val="00293E78"/>
    <w:rsid w:val="00293FF7"/>
    <w:rsid w:val="0029442E"/>
    <w:rsid w:val="002946CF"/>
    <w:rsid w:val="0029482B"/>
    <w:rsid w:val="00294AF6"/>
    <w:rsid w:val="00294BE2"/>
    <w:rsid w:val="00294C1B"/>
    <w:rsid w:val="00294C2A"/>
    <w:rsid w:val="00294F8D"/>
    <w:rsid w:val="0029514C"/>
    <w:rsid w:val="002951CD"/>
    <w:rsid w:val="0029565B"/>
    <w:rsid w:val="00295689"/>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352"/>
    <w:rsid w:val="002A0549"/>
    <w:rsid w:val="002A0834"/>
    <w:rsid w:val="002A091C"/>
    <w:rsid w:val="002A0A48"/>
    <w:rsid w:val="002A0E2A"/>
    <w:rsid w:val="002A1B13"/>
    <w:rsid w:val="002A1B68"/>
    <w:rsid w:val="002A1BC0"/>
    <w:rsid w:val="002A21D6"/>
    <w:rsid w:val="002A240E"/>
    <w:rsid w:val="002A263E"/>
    <w:rsid w:val="002A2704"/>
    <w:rsid w:val="002A294E"/>
    <w:rsid w:val="002A2AE4"/>
    <w:rsid w:val="002A2F0F"/>
    <w:rsid w:val="002A2F61"/>
    <w:rsid w:val="002A2FF2"/>
    <w:rsid w:val="002A2FFB"/>
    <w:rsid w:val="002A3310"/>
    <w:rsid w:val="002A3353"/>
    <w:rsid w:val="002A3751"/>
    <w:rsid w:val="002A37B6"/>
    <w:rsid w:val="002A3C23"/>
    <w:rsid w:val="002A3C34"/>
    <w:rsid w:val="002A3E9F"/>
    <w:rsid w:val="002A40F3"/>
    <w:rsid w:val="002A4156"/>
    <w:rsid w:val="002A45D0"/>
    <w:rsid w:val="002A4989"/>
    <w:rsid w:val="002A49BC"/>
    <w:rsid w:val="002A4A36"/>
    <w:rsid w:val="002A4A7A"/>
    <w:rsid w:val="002A4BDE"/>
    <w:rsid w:val="002A4C40"/>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54F"/>
    <w:rsid w:val="002A6947"/>
    <w:rsid w:val="002A6DE7"/>
    <w:rsid w:val="002A6F9A"/>
    <w:rsid w:val="002A7159"/>
    <w:rsid w:val="002A751B"/>
    <w:rsid w:val="002A79BB"/>
    <w:rsid w:val="002A7B21"/>
    <w:rsid w:val="002A7B9F"/>
    <w:rsid w:val="002A7E45"/>
    <w:rsid w:val="002A7E5D"/>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945"/>
    <w:rsid w:val="002B29CB"/>
    <w:rsid w:val="002B2D87"/>
    <w:rsid w:val="002B2DBB"/>
    <w:rsid w:val="002B3726"/>
    <w:rsid w:val="002B38E1"/>
    <w:rsid w:val="002B3D98"/>
    <w:rsid w:val="002B3FAD"/>
    <w:rsid w:val="002B4034"/>
    <w:rsid w:val="002B424E"/>
    <w:rsid w:val="002B43FA"/>
    <w:rsid w:val="002B47BB"/>
    <w:rsid w:val="002B4A77"/>
    <w:rsid w:val="002B5091"/>
    <w:rsid w:val="002B50FD"/>
    <w:rsid w:val="002B56DD"/>
    <w:rsid w:val="002B5A76"/>
    <w:rsid w:val="002B606B"/>
    <w:rsid w:val="002B60BF"/>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4F7"/>
    <w:rsid w:val="002C2239"/>
    <w:rsid w:val="002C22F9"/>
    <w:rsid w:val="002C2442"/>
    <w:rsid w:val="002C247F"/>
    <w:rsid w:val="002C293C"/>
    <w:rsid w:val="002C29DD"/>
    <w:rsid w:val="002C2A75"/>
    <w:rsid w:val="002C2B0C"/>
    <w:rsid w:val="002C2EB6"/>
    <w:rsid w:val="002C318B"/>
    <w:rsid w:val="002C321C"/>
    <w:rsid w:val="002C3437"/>
    <w:rsid w:val="002C39AF"/>
    <w:rsid w:val="002C3E93"/>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537"/>
    <w:rsid w:val="002C65B0"/>
    <w:rsid w:val="002C65F6"/>
    <w:rsid w:val="002C673A"/>
    <w:rsid w:val="002C6AD4"/>
    <w:rsid w:val="002C705E"/>
    <w:rsid w:val="002C7C1D"/>
    <w:rsid w:val="002C7C22"/>
    <w:rsid w:val="002C7C64"/>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837"/>
    <w:rsid w:val="002D2A12"/>
    <w:rsid w:val="002D2A34"/>
    <w:rsid w:val="002D2BA7"/>
    <w:rsid w:val="002D2F2B"/>
    <w:rsid w:val="002D31F9"/>
    <w:rsid w:val="002D35F9"/>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FFF"/>
    <w:rsid w:val="002D52EA"/>
    <w:rsid w:val="002D541C"/>
    <w:rsid w:val="002D57AC"/>
    <w:rsid w:val="002D5D1C"/>
    <w:rsid w:val="002D5D2C"/>
    <w:rsid w:val="002D5DEF"/>
    <w:rsid w:val="002D632F"/>
    <w:rsid w:val="002D6487"/>
    <w:rsid w:val="002D64A7"/>
    <w:rsid w:val="002D6514"/>
    <w:rsid w:val="002D662B"/>
    <w:rsid w:val="002D67F7"/>
    <w:rsid w:val="002D6896"/>
    <w:rsid w:val="002D69B7"/>
    <w:rsid w:val="002D6A5B"/>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BB3"/>
    <w:rsid w:val="002E7D07"/>
    <w:rsid w:val="002E7DD8"/>
    <w:rsid w:val="002E7FFC"/>
    <w:rsid w:val="002F0054"/>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55C"/>
    <w:rsid w:val="00302591"/>
    <w:rsid w:val="00302762"/>
    <w:rsid w:val="00302C5E"/>
    <w:rsid w:val="00302E8C"/>
    <w:rsid w:val="003030BB"/>
    <w:rsid w:val="00303246"/>
    <w:rsid w:val="003034A6"/>
    <w:rsid w:val="003034BF"/>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8F2"/>
    <w:rsid w:val="0030599D"/>
    <w:rsid w:val="00305C53"/>
    <w:rsid w:val="00305E3D"/>
    <w:rsid w:val="00305F1A"/>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B00"/>
    <w:rsid w:val="00311B5F"/>
    <w:rsid w:val="00311EF4"/>
    <w:rsid w:val="00312233"/>
    <w:rsid w:val="003122C2"/>
    <w:rsid w:val="00312430"/>
    <w:rsid w:val="00312454"/>
    <w:rsid w:val="003124C6"/>
    <w:rsid w:val="00312A82"/>
    <w:rsid w:val="00312C8C"/>
    <w:rsid w:val="00313224"/>
    <w:rsid w:val="00313248"/>
    <w:rsid w:val="0031338D"/>
    <w:rsid w:val="0031349D"/>
    <w:rsid w:val="003135EE"/>
    <w:rsid w:val="003135F2"/>
    <w:rsid w:val="0031381C"/>
    <w:rsid w:val="003138EF"/>
    <w:rsid w:val="00313906"/>
    <w:rsid w:val="00313B9F"/>
    <w:rsid w:val="0031404A"/>
    <w:rsid w:val="0031456B"/>
    <w:rsid w:val="0031483A"/>
    <w:rsid w:val="00314E1A"/>
    <w:rsid w:val="00314E4D"/>
    <w:rsid w:val="00314F01"/>
    <w:rsid w:val="00315036"/>
    <w:rsid w:val="00315048"/>
    <w:rsid w:val="00315277"/>
    <w:rsid w:val="003152E8"/>
    <w:rsid w:val="00315422"/>
    <w:rsid w:val="00315BA5"/>
    <w:rsid w:val="00315C25"/>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7020"/>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EED"/>
    <w:rsid w:val="00325F44"/>
    <w:rsid w:val="00326260"/>
    <w:rsid w:val="00326329"/>
    <w:rsid w:val="00326AC3"/>
    <w:rsid w:val="00326ED1"/>
    <w:rsid w:val="003273FA"/>
    <w:rsid w:val="003276E5"/>
    <w:rsid w:val="00327793"/>
    <w:rsid w:val="003278D6"/>
    <w:rsid w:val="00327AE6"/>
    <w:rsid w:val="00327BA8"/>
    <w:rsid w:val="00327ED0"/>
    <w:rsid w:val="003306ED"/>
    <w:rsid w:val="003307B2"/>
    <w:rsid w:val="00330818"/>
    <w:rsid w:val="00330BED"/>
    <w:rsid w:val="003310D8"/>
    <w:rsid w:val="00331443"/>
    <w:rsid w:val="0033144B"/>
    <w:rsid w:val="0033166E"/>
    <w:rsid w:val="00331897"/>
    <w:rsid w:val="00331950"/>
    <w:rsid w:val="00331D17"/>
    <w:rsid w:val="00331DF5"/>
    <w:rsid w:val="00331E23"/>
    <w:rsid w:val="00331E95"/>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43AA"/>
    <w:rsid w:val="003346C8"/>
    <w:rsid w:val="00334787"/>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D67"/>
    <w:rsid w:val="00337D92"/>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ED7"/>
    <w:rsid w:val="00342EE6"/>
    <w:rsid w:val="00343341"/>
    <w:rsid w:val="0034370C"/>
    <w:rsid w:val="003437DB"/>
    <w:rsid w:val="00343A16"/>
    <w:rsid w:val="00343A8A"/>
    <w:rsid w:val="00343C8C"/>
    <w:rsid w:val="00343D4C"/>
    <w:rsid w:val="003442A5"/>
    <w:rsid w:val="00344346"/>
    <w:rsid w:val="00344960"/>
    <w:rsid w:val="003449F7"/>
    <w:rsid w:val="00344B10"/>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B19"/>
    <w:rsid w:val="00351F35"/>
    <w:rsid w:val="003522B5"/>
    <w:rsid w:val="00352579"/>
    <w:rsid w:val="003525FF"/>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100A"/>
    <w:rsid w:val="003610E0"/>
    <w:rsid w:val="0036115D"/>
    <w:rsid w:val="00361289"/>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C61"/>
    <w:rsid w:val="00364D14"/>
    <w:rsid w:val="00364FF9"/>
    <w:rsid w:val="00365067"/>
    <w:rsid w:val="0036528C"/>
    <w:rsid w:val="00365744"/>
    <w:rsid w:val="00365AAE"/>
    <w:rsid w:val="00365B6C"/>
    <w:rsid w:val="00365D82"/>
    <w:rsid w:val="00365ED7"/>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FEE"/>
    <w:rsid w:val="003721AB"/>
    <w:rsid w:val="003721B7"/>
    <w:rsid w:val="003722A6"/>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4151"/>
    <w:rsid w:val="003742D4"/>
    <w:rsid w:val="00374BD1"/>
    <w:rsid w:val="0037509C"/>
    <w:rsid w:val="003750DD"/>
    <w:rsid w:val="0037541E"/>
    <w:rsid w:val="0037545B"/>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F3C"/>
    <w:rsid w:val="00383108"/>
    <w:rsid w:val="00383546"/>
    <w:rsid w:val="003836A0"/>
    <w:rsid w:val="00383738"/>
    <w:rsid w:val="00383BE0"/>
    <w:rsid w:val="00383F4F"/>
    <w:rsid w:val="00384153"/>
    <w:rsid w:val="00384202"/>
    <w:rsid w:val="00384269"/>
    <w:rsid w:val="00384413"/>
    <w:rsid w:val="0038443C"/>
    <w:rsid w:val="003846DA"/>
    <w:rsid w:val="00384D8A"/>
    <w:rsid w:val="0038507A"/>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F41"/>
    <w:rsid w:val="00394097"/>
    <w:rsid w:val="003940D4"/>
    <w:rsid w:val="003943B8"/>
    <w:rsid w:val="00394471"/>
    <w:rsid w:val="003948CB"/>
    <w:rsid w:val="00394ADD"/>
    <w:rsid w:val="00394EEF"/>
    <w:rsid w:val="0039545D"/>
    <w:rsid w:val="003955DA"/>
    <w:rsid w:val="00395651"/>
    <w:rsid w:val="003956B7"/>
    <w:rsid w:val="00395795"/>
    <w:rsid w:val="00395E2D"/>
    <w:rsid w:val="00395E3F"/>
    <w:rsid w:val="00396597"/>
    <w:rsid w:val="003968C9"/>
    <w:rsid w:val="00396AC3"/>
    <w:rsid w:val="00397071"/>
    <w:rsid w:val="003970AD"/>
    <w:rsid w:val="003972C7"/>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817"/>
    <w:rsid w:val="003A1A71"/>
    <w:rsid w:val="003A1AE4"/>
    <w:rsid w:val="003A1C43"/>
    <w:rsid w:val="003A1DE3"/>
    <w:rsid w:val="003A1EFB"/>
    <w:rsid w:val="003A2AD5"/>
    <w:rsid w:val="003A2CD9"/>
    <w:rsid w:val="003A2D1B"/>
    <w:rsid w:val="003A2D3D"/>
    <w:rsid w:val="003A2E8E"/>
    <w:rsid w:val="003A2F88"/>
    <w:rsid w:val="003A302A"/>
    <w:rsid w:val="003A30CF"/>
    <w:rsid w:val="003A3179"/>
    <w:rsid w:val="003A3366"/>
    <w:rsid w:val="003A36B4"/>
    <w:rsid w:val="003A36D5"/>
    <w:rsid w:val="003A3702"/>
    <w:rsid w:val="003A3A21"/>
    <w:rsid w:val="003A3D49"/>
    <w:rsid w:val="003A3F6E"/>
    <w:rsid w:val="003A41CE"/>
    <w:rsid w:val="003A4316"/>
    <w:rsid w:val="003A4541"/>
    <w:rsid w:val="003A45C2"/>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E67"/>
    <w:rsid w:val="003B3FDE"/>
    <w:rsid w:val="003B3FE5"/>
    <w:rsid w:val="003B4168"/>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3314"/>
    <w:rsid w:val="003C335A"/>
    <w:rsid w:val="003C3782"/>
    <w:rsid w:val="003C3821"/>
    <w:rsid w:val="003C399F"/>
    <w:rsid w:val="003C3AD3"/>
    <w:rsid w:val="003C3F24"/>
    <w:rsid w:val="003C3F92"/>
    <w:rsid w:val="003C4178"/>
    <w:rsid w:val="003C46B1"/>
    <w:rsid w:val="003C47A9"/>
    <w:rsid w:val="003C4907"/>
    <w:rsid w:val="003C49CB"/>
    <w:rsid w:val="003C4A6D"/>
    <w:rsid w:val="003C4AD0"/>
    <w:rsid w:val="003C4B30"/>
    <w:rsid w:val="003C5238"/>
    <w:rsid w:val="003C52C0"/>
    <w:rsid w:val="003C54FA"/>
    <w:rsid w:val="003C58A9"/>
    <w:rsid w:val="003C5A4A"/>
    <w:rsid w:val="003C5B7E"/>
    <w:rsid w:val="003C5CB7"/>
    <w:rsid w:val="003C5CE0"/>
    <w:rsid w:val="003C5D11"/>
    <w:rsid w:val="003C5E1F"/>
    <w:rsid w:val="003C5EE5"/>
    <w:rsid w:val="003C6166"/>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083"/>
    <w:rsid w:val="003D4104"/>
    <w:rsid w:val="003D41D5"/>
    <w:rsid w:val="003D42E5"/>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E0531"/>
    <w:rsid w:val="003E063B"/>
    <w:rsid w:val="003E08B2"/>
    <w:rsid w:val="003E0959"/>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7D2"/>
    <w:rsid w:val="003E5AF2"/>
    <w:rsid w:val="003E5B2C"/>
    <w:rsid w:val="003E5F30"/>
    <w:rsid w:val="003E5FE7"/>
    <w:rsid w:val="003E61C5"/>
    <w:rsid w:val="003E6361"/>
    <w:rsid w:val="003E63A6"/>
    <w:rsid w:val="003E64C7"/>
    <w:rsid w:val="003E69D4"/>
    <w:rsid w:val="003E6B4D"/>
    <w:rsid w:val="003E6DB8"/>
    <w:rsid w:val="003E6DCF"/>
    <w:rsid w:val="003E744E"/>
    <w:rsid w:val="003E7885"/>
    <w:rsid w:val="003E7A9D"/>
    <w:rsid w:val="003F00D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612"/>
    <w:rsid w:val="003F39C2"/>
    <w:rsid w:val="003F3E35"/>
    <w:rsid w:val="003F40F1"/>
    <w:rsid w:val="003F416C"/>
    <w:rsid w:val="003F4607"/>
    <w:rsid w:val="003F4783"/>
    <w:rsid w:val="003F4841"/>
    <w:rsid w:val="003F4A15"/>
    <w:rsid w:val="003F4D8C"/>
    <w:rsid w:val="003F4FCC"/>
    <w:rsid w:val="003F4FDC"/>
    <w:rsid w:val="003F5033"/>
    <w:rsid w:val="003F5551"/>
    <w:rsid w:val="003F562D"/>
    <w:rsid w:val="003F572F"/>
    <w:rsid w:val="003F580D"/>
    <w:rsid w:val="003F59EE"/>
    <w:rsid w:val="003F5A7E"/>
    <w:rsid w:val="003F5BA8"/>
    <w:rsid w:val="003F5BE3"/>
    <w:rsid w:val="003F5BEC"/>
    <w:rsid w:val="003F5F22"/>
    <w:rsid w:val="003F5F62"/>
    <w:rsid w:val="003F60DC"/>
    <w:rsid w:val="003F63AB"/>
    <w:rsid w:val="003F6964"/>
    <w:rsid w:val="003F6C3D"/>
    <w:rsid w:val="003F6CAF"/>
    <w:rsid w:val="003F6CD6"/>
    <w:rsid w:val="003F6FE5"/>
    <w:rsid w:val="003F6FF4"/>
    <w:rsid w:val="003F7447"/>
    <w:rsid w:val="003F7556"/>
    <w:rsid w:val="003F778C"/>
    <w:rsid w:val="003F7816"/>
    <w:rsid w:val="003F7CD1"/>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B39"/>
    <w:rsid w:val="00404CF2"/>
    <w:rsid w:val="00404D25"/>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4C5"/>
    <w:rsid w:val="00410A92"/>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74"/>
    <w:rsid w:val="00414469"/>
    <w:rsid w:val="0041454D"/>
    <w:rsid w:val="0041472C"/>
    <w:rsid w:val="00414973"/>
    <w:rsid w:val="00414B4A"/>
    <w:rsid w:val="00414CE3"/>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148"/>
    <w:rsid w:val="00420951"/>
    <w:rsid w:val="00420F71"/>
    <w:rsid w:val="00421010"/>
    <w:rsid w:val="004210A1"/>
    <w:rsid w:val="004211A4"/>
    <w:rsid w:val="0042130D"/>
    <w:rsid w:val="00421330"/>
    <w:rsid w:val="0042136A"/>
    <w:rsid w:val="0042185A"/>
    <w:rsid w:val="00421A0A"/>
    <w:rsid w:val="00421B3F"/>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D18"/>
    <w:rsid w:val="00423D9D"/>
    <w:rsid w:val="00423E68"/>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371"/>
    <w:rsid w:val="0043341F"/>
    <w:rsid w:val="00433438"/>
    <w:rsid w:val="00433541"/>
    <w:rsid w:val="0043359D"/>
    <w:rsid w:val="00433870"/>
    <w:rsid w:val="0043409F"/>
    <w:rsid w:val="004343ED"/>
    <w:rsid w:val="0043441E"/>
    <w:rsid w:val="004344AA"/>
    <w:rsid w:val="00434BED"/>
    <w:rsid w:val="00434DA8"/>
    <w:rsid w:val="004350F0"/>
    <w:rsid w:val="00435340"/>
    <w:rsid w:val="00435350"/>
    <w:rsid w:val="00435609"/>
    <w:rsid w:val="004356C7"/>
    <w:rsid w:val="004358C9"/>
    <w:rsid w:val="00435964"/>
    <w:rsid w:val="00435F7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1003"/>
    <w:rsid w:val="00441131"/>
    <w:rsid w:val="00441405"/>
    <w:rsid w:val="0044141C"/>
    <w:rsid w:val="0044143D"/>
    <w:rsid w:val="004414E5"/>
    <w:rsid w:val="00441806"/>
    <w:rsid w:val="00441C6C"/>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457"/>
    <w:rsid w:val="00447506"/>
    <w:rsid w:val="004479DD"/>
    <w:rsid w:val="00447A5C"/>
    <w:rsid w:val="00447B1F"/>
    <w:rsid w:val="00447C66"/>
    <w:rsid w:val="004500A6"/>
    <w:rsid w:val="00450611"/>
    <w:rsid w:val="00450708"/>
    <w:rsid w:val="004508F0"/>
    <w:rsid w:val="00450C87"/>
    <w:rsid w:val="00450C95"/>
    <w:rsid w:val="004510B5"/>
    <w:rsid w:val="00451177"/>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548"/>
    <w:rsid w:val="004549C8"/>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7190"/>
    <w:rsid w:val="00457354"/>
    <w:rsid w:val="00457391"/>
    <w:rsid w:val="004574BB"/>
    <w:rsid w:val="004574EF"/>
    <w:rsid w:val="00457654"/>
    <w:rsid w:val="004577E4"/>
    <w:rsid w:val="00457891"/>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B2F"/>
    <w:rsid w:val="00461D5A"/>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21F"/>
    <w:rsid w:val="00464428"/>
    <w:rsid w:val="0046448F"/>
    <w:rsid w:val="0046468D"/>
    <w:rsid w:val="00464CD8"/>
    <w:rsid w:val="00464EE2"/>
    <w:rsid w:val="00465589"/>
    <w:rsid w:val="00465653"/>
    <w:rsid w:val="00465787"/>
    <w:rsid w:val="00465C69"/>
    <w:rsid w:val="00465DD4"/>
    <w:rsid w:val="00465EC5"/>
    <w:rsid w:val="004661FA"/>
    <w:rsid w:val="0046626A"/>
    <w:rsid w:val="0046641D"/>
    <w:rsid w:val="00466468"/>
    <w:rsid w:val="00466698"/>
    <w:rsid w:val="0046679B"/>
    <w:rsid w:val="00466A15"/>
    <w:rsid w:val="00466A7D"/>
    <w:rsid w:val="00466B25"/>
    <w:rsid w:val="00466B9A"/>
    <w:rsid w:val="00466F13"/>
    <w:rsid w:val="00466FC9"/>
    <w:rsid w:val="004672B5"/>
    <w:rsid w:val="00467392"/>
    <w:rsid w:val="0046754A"/>
    <w:rsid w:val="00467635"/>
    <w:rsid w:val="004676BA"/>
    <w:rsid w:val="00467B20"/>
    <w:rsid w:val="00467C13"/>
    <w:rsid w:val="00467D85"/>
    <w:rsid w:val="00467F2B"/>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F25"/>
    <w:rsid w:val="004730B0"/>
    <w:rsid w:val="004731AE"/>
    <w:rsid w:val="00473388"/>
    <w:rsid w:val="004734B2"/>
    <w:rsid w:val="00473735"/>
    <w:rsid w:val="00473819"/>
    <w:rsid w:val="00473945"/>
    <w:rsid w:val="00473950"/>
    <w:rsid w:val="00473B45"/>
    <w:rsid w:val="0047444F"/>
    <w:rsid w:val="00474735"/>
    <w:rsid w:val="00474AEC"/>
    <w:rsid w:val="00474B38"/>
    <w:rsid w:val="00474F83"/>
    <w:rsid w:val="00475297"/>
    <w:rsid w:val="0047589A"/>
    <w:rsid w:val="00475CDF"/>
    <w:rsid w:val="004763F2"/>
    <w:rsid w:val="004764D3"/>
    <w:rsid w:val="004764DA"/>
    <w:rsid w:val="0047651D"/>
    <w:rsid w:val="00476566"/>
    <w:rsid w:val="004767D1"/>
    <w:rsid w:val="0047706E"/>
    <w:rsid w:val="0047717F"/>
    <w:rsid w:val="00477247"/>
    <w:rsid w:val="004773CB"/>
    <w:rsid w:val="00477AF0"/>
    <w:rsid w:val="00477B2C"/>
    <w:rsid w:val="00477D39"/>
    <w:rsid w:val="00477F12"/>
    <w:rsid w:val="0048016C"/>
    <w:rsid w:val="0048029B"/>
    <w:rsid w:val="004806E3"/>
    <w:rsid w:val="004809BA"/>
    <w:rsid w:val="00480A22"/>
    <w:rsid w:val="00480C43"/>
    <w:rsid w:val="00480E07"/>
    <w:rsid w:val="00480FF2"/>
    <w:rsid w:val="004812BF"/>
    <w:rsid w:val="004813A7"/>
    <w:rsid w:val="00481413"/>
    <w:rsid w:val="00481472"/>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462"/>
    <w:rsid w:val="00484563"/>
    <w:rsid w:val="00484638"/>
    <w:rsid w:val="00484900"/>
    <w:rsid w:val="00484BA9"/>
    <w:rsid w:val="00484BCA"/>
    <w:rsid w:val="00484E24"/>
    <w:rsid w:val="004850F9"/>
    <w:rsid w:val="00485175"/>
    <w:rsid w:val="00485329"/>
    <w:rsid w:val="00485330"/>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874"/>
    <w:rsid w:val="00487889"/>
    <w:rsid w:val="00487A79"/>
    <w:rsid w:val="00487CC7"/>
    <w:rsid w:val="004900CD"/>
    <w:rsid w:val="00490168"/>
    <w:rsid w:val="0049025E"/>
    <w:rsid w:val="00490368"/>
    <w:rsid w:val="00490450"/>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E3C"/>
    <w:rsid w:val="004941E1"/>
    <w:rsid w:val="0049477C"/>
    <w:rsid w:val="00494CEB"/>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198"/>
    <w:rsid w:val="00497224"/>
    <w:rsid w:val="004975A2"/>
    <w:rsid w:val="00497797"/>
    <w:rsid w:val="00497B13"/>
    <w:rsid w:val="00497EBE"/>
    <w:rsid w:val="00497F7F"/>
    <w:rsid w:val="004A002F"/>
    <w:rsid w:val="004A0216"/>
    <w:rsid w:val="004A032A"/>
    <w:rsid w:val="004A0377"/>
    <w:rsid w:val="004A03DB"/>
    <w:rsid w:val="004A069B"/>
    <w:rsid w:val="004A06E6"/>
    <w:rsid w:val="004A08BE"/>
    <w:rsid w:val="004A0AFD"/>
    <w:rsid w:val="004A0C9E"/>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378"/>
    <w:rsid w:val="004A2832"/>
    <w:rsid w:val="004A2B72"/>
    <w:rsid w:val="004A32C6"/>
    <w:rsid w:val="004A3682"/>
    <w:rsid w:val="004A3B0E"/>
    <w:rsid w:val="004A3C80"/>
    <w:rsid w:val="004A3D1B"/>
    <w:rsid w:val="004A3DFD"/>
    <w:rsid w:val="004A417F"/>
    <w:rsid w:val="004A439A"/>
    <w:rsid w:val="004A43FD"/>
    <w:rsid w:val="004A467C"/>
    <w:rsid w:val="004A4715"/>
    <w:rsid w:val="004A476E"/>
    <w:rsid w:val="004A50DE"/>
    <w:rsid w:val="004A531E"/>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7E7"/>
    <w:rsid w:val="004B087E"/>
    <w:rsid w:val="004B09D9"/>
    <w:rsid w:val="004B0B40"/>
    <w:rsid w:val="004B10FE"/>
    <w:rsid w:val="004B1196"/>
    <w:rsid w:val="004B14FC"/>
    <w:rsid w:val="004B1A32"/>
    <w:rsid w:val="004B1CBB"/>
    <w:rsid w:val="004B1D15"/>
    <w:rsid w:val="004B20AB"/>
    <w:rsid w:val="004B2164"/>
    <w:rsid w:val="004B26FF"/>
    <w:rsid w:val="004B2BBA"/>
    <w:rsid w:val="004B305D"/>
    <w:rsid w:val="004B3433"/>
    <w:rsid w:val="004B3498"/>
    <w:rsid w:val="004B3943"/>
    <w:rsid w:val="004B3C32"/>
    <w:rsid w:val="004B4039"/>
    <w:rsid w:val="004B405A"/>
    <w:rsid w:val="004B415D"/>
    <w:rsid w:val="004B41BB"/>
    <w:rsid w:val="004B4452"/>
    <w:rsid w:val="004B448C"/>
    <w:rsid w:val="004B45CE"/>
    <w:rsid w:val="004B4BF0"/>
    <w:rsid w:val="004B4EFE"/>
    <w:rsid w:val="004B5334"/>
    <w:rsid w:val="004B546D"/>
    <w:rsid w:val="004B5620"/>
    <w:rsid w:val="004B56CF"/>
    <w:rsid w:val="004B5843"/>
    <w:rsid w:val="004B588B"/>
    <w:rsid w:val="004B5BB7"/>
    <w:rsid w:val="004B5E3A"/>
    <w:rsid w:val="004B5E92"/>
    <w:rsid w:val="004B6571"/>
    <w:rsid w:val="004B68C7"/>
    <w:rsid w:val="004B6AB0"/>
    <w:rsid w:val="004B6DDC"/>
    <w:rsid w:val="004B6EB7"/>
    <w:rsid w:val="004B6F9C"/>
    <w:rsid w:val="004B730D"/>
    <w:rsid w:val="004B76A8"/>
    <w:rsid w:val="004B7752"/>
    <w:rsid w:val="004B7A25"/>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65B"/>
    <w:rsid w:val="004C273F"/>
    <w:rsid w:val="004C2890"/>
    <w:rsid w:val="004C2AE8"/>
    <w:rsid w:val="004C2B45"/>
    <w:rsid w:val="004C329E"/>
    <w:rsid w:val="004C33A1"/>
    <w:rsid w:val="004C362D"/>
    <w:rsid w:val="004C379C"/>
    <w:rsid w:val="004C3826"/>
    <w:rsid w:val="004C3940"/>
    <w:rsid w:val="004C3B0E"/>
    <w:rsid w:val="004C3C86"/>
    <w:rsid w:val="004C3CB9"/>
    <w:rsid w:val="004C3D4A"/>
    <w:rsid w:val="004C3E6E"/>
    <w:rsid w:val="004C403E"/>
    <w:rsid w:val="004C42DD"/>
    <w:rsid w:val="004C43A4"/>
    <w:rsid w:val="004C45BA"/>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C3C"/>
    <w:rsid w:val="004D4CDC"/>
    <w:rsid w:val="004D4D70"/>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109"/>
    <w:rsid w:val="004D7211"/>
    <w:rsid w:val="004D721A"/>
    <w:rsid w:val="004D72B5"/>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3018"/>
    <w:rsid w:val="004F400B"/>
    <w:rsid w:val="004F40E2"/>
    <w:rsid w:val="004F4BEB"/>
    <w:rsid w:val="004F4FBB"/>
    <w:rsid w:val="004F503F"/>
    <w:rsid w:val="004F5194"/>
    <w:rsid w:val="004F52FA"/>
    <w:rsid w:val="004F5342"/>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CDB"/>
    <w:rsid w:val="00502EC2"/>
    <w:rsid w:val="00502EDA"/>
    <w:rsid w:val="00502FDB"/>
    <w:rsid w:val="0050312C"/>
    <w:rsid w:val="00503284"/>
    <w:rsid w:val="005032D9"/>
    <w:rsid w:val="00503748"/>
    <w:rsid w:val="00503B21"/>
    <w:rsid w:val="00503B44"/>
    <w:rsid w:val="00503CF9"/>
    <w:rsid w:val="00503DA3"/>
    <w:rsid w:val="00503DC3"/>
    <w:rsid w:val="00503F34"/>
    <w:rsid w:val="005044C7"/>
    <w:rsid w:val="00504714"/>
    <w:rsid w:val="0050478F"/>
    <w:rsid w:val="005047EF"/>
    <w:rsid w:val="00504EE9"/>
    <w:rsid w:val="005050A4"/>
    <w:rsid w:val="0050526F"/>
    <w:rsid w:val="005052DB"/>
    <w:rsid w:val="0050545B"/>
    <w:rsid w:val="00505811"/>
    <w:rsid w:val="0050589E"/>
    <w:rsid w:val="005058FE"/>
    <w:rsid w:val="005059A8"/>
    <w:rsid w:val="00505C98"/>
    <w:rsid w:val="00505D15"/>
    <w:rsid w:val="00505F6B"/>
    <w:rsid w:val="00506185"/>
    <w:rsid w:val="005062F8"/>
    <w:rsid w:val="0050631C"/>
    <w:rsid w:val="005065E1"/>
    <w:rsid w:val="00506785"/>
    <w:rsid w:val="005068F9"/>
    <w:rsid w:val="00506AF0"/>
    <w:rsid w:val="00506D84"/>
    <w:rsid w:val="00507800"/>
    <w:rsid w:val="00507CB3"/>
    <w:rsid w:val="00507E6D"/>
    <w:rsid w:val="0051015C"/>
    <w:rsid w:val="005101C9"/>
    <w:rsid w:val="00510454"/>
    <w:rsid w:val="00510737"/>
    <w:rsid w:val="005109D2"/>
    <w:rsid w:val="00510A21"/>
    <w:rsid w:val="00510DAB"/>
    <w:rsid w:val="00510FBB"/>
    <w:rsid w:val="005110E8"/>
    <w:rsid w:val="00511256"/>
    <w:rsid w:val="0051158E"/>
    <w:rsid w:val="0051169E"/>
    <w:rsid w:val="00511A46"/>
    <w:rsid w:val="00511B2E"/>
    <w:rsid w:val="00511F09"/>
    <w:rsid w:val="00512247"/>
    <w:rsid w:val="00512584"/>
    <w:rsid w:val="00512736"/>
    <w:rsid w:val="00512BBE"/>
    <w:rsid w:val="00512C2A"/>
    <w:rsid w:val="00512C6D"/>
    <w:rsid w:val="00512EE9"/>
    <w:rsid w:val="005133C7"/>
    <w:rsid w:val="0051349A"/>
    <w:rsid w:val="00513702"/>
    <w:rsid w:val="00513D61"/>
    <w:rsid w:val="00513D70"/>
    <w:rsid w:val="00513DB6"/>
    <w:rsid w:val="00513E34"/>
    <w:rsid w:val="00513EAD"/>
    <w:rsid w:val="00513F17"/>
    <w:rsid w:val="00514845"/>
    <w:rsid w:val="00514A11"/>
    <w:rsid w:val="00514C6E"/>
    <w:rsid w:val="00514C91"/>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C6C"/>
    <w:rsid w:val="00525127"/>
    <w:rsid w:val="00525196"/>
    <w:rsid w:val="005257FA"/>
    <w:rsid w:val="0052599F"/>
    <w:rsid w:val="00525D56"/>
    <w:rsid w:val="00526882"/>
    <w:rsid w:val="00526C25"/>
    <w:rsid w:val="00526CB7"/>
    <w:rsid w:val="00526FDB"/>
    <w:rsid w:val="0052732A"/>
    <w:rsid w:val="00527390"/>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072"/>
    <w:rsid w:val="005321A1"/>
    <w:rsid w:val="00532236"/>
    <w:rsid w:val="005322B3"/>
    <w:rsid w:val="005322FB"/>
    <w:rsid w:val="00532390"/>
    <w:rsid w:val="00532544"/>
    <w:rsid w:val="005327EB"/>
    <w:rsid w:val="00532873"/>
    <w:rsid w:val="00532C24"/>
    <w:rsid w:val="00532D20"/>
    <w:rsid w:val="00532F65"/>
    <w:rsid w:val="0053302A"/>
    <w:rsid w:val="00533042"/>
    <w:rsid w:val="00533099"/>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F4C"/>
    <w:rsid w:val="00541005"/>
    <w:rsid w:val="005411B0"/>
    <w:rsid w:val="00541233"/>
    <w:rsid w:val="005412D0"/>
    <w:rsid w:val="00541425"/>
    <w:rsid w:val="00541443"/>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E32"/>
    <w:rsid w:val="005431BD"/>
    <w:rsid w:val="0054335E"/>
    <w:rsid w:val="005434B3"/>
    <w:rsid w:val="005435EC"/>
    <w:rsid w:val="005439E4"/>
    <w:rsid w:val="00543B63"/>
    <w:rsid w:val="00543E48"/>
    <w:rsid w:val="00544122"/>
    <w:rsid w:val="005442E9"/>
    <w:rsid w:val="005445D3"/>
    <w:rsid w:val="005445D5"/>
    <w:rsid w:val="00544611"/>
    <w:rsid w:val="00544669"/>
    <w:rsid w:val="00544D79"/>
    <w:rsid w:val="00544DAF"/>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6B0"/>
    <w:rsid w:val="0055081D"/>
    <w:rsid w:val="00550850"/>
    <w:rsid w:val="0055096C"/>
    <w:rsid w:val="005509E7"/>
    <w:rsid w:val="00550A45"/>
    <w:rsid w:val="00550B95"/>
    <w:rsid w:val="00550EFA"/>
    <w:rsid w:val="00551096"/>
    <w:rsid w:val="005510BB"/>
    <w:rsid w:val="00551171"/>
    <w:rsid w:val="005512AD"/>
    <w:rsid w:val="005514DD"/>
    <w:rsid w:val="0055185F"/>
    <w:rsid w:val="00551910"/>
    <w:rsid w:val="00551986"/>
    <w:rsid w:val="00551D6D"/>
    <w:rsid w:val="00551DDE"/>
    <w:rsid w:val="005522F4"/>
    <w:rsid w:val="00552434"/>
    <w:rsid w:val="00552808"/>
    <w:rsid w:val="00552BDA"/>
    <w:rsid w:val="00552CDC"/>
    <w:rsid w:val="005532A9"/>
    <w:rsid w:val="005535D3"/>
    <w:rsid w:val="00553867"/>
    <w:rsid w:val="00553A14"/>
    <w:rsid w:val="00553EE6"/>
    <w:rsid w:val="00553F60"/>
    <w:rsid w:val="005541CE"/>
    <w:rsid w:val="00554487"/>
    <w:rsid w:val="005544FF"/>
    <w:rsid w:val="0055467E"/>
    <w:rsid w:val="00554D13"/>
    <w:rsid w:val="005552CA"/>
    <w:rsid w:val="005552DB"/>
    <w:rsid w:val="005553B6"/>
    <w:rsid w:val="00555691"/>
    <w:rsid w:val="00555A68"/>
    <w:rsid w:val="00555D29"/>
    <w:rsid w:val="005561C0"/>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D0C"/>
    <w:rsid w:val="00561D2F"/>
    <w:rsid w:val="00561D96"/>
    <w:rsid w:val="005621E6"/>
    <w:rsid w:val="00562235"/>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A36"/>
    <w:rsid w:val="00564BF9"/>
    <w:rsid w:val="00565115"/>
    <w:rsid w:val="00565266"/>
    <w:rsid w:val="005659EB"/>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E2B"/>
    <w:rsid w:val="00570048"/>
    <w:rsid w:val="00570170"/>
    <w:rsid w:val="00570553"/>
    <w:rsid w:val="005705CC"/>
    <w:rsid w:val="00570627"/>
    <w:rsid w:val="005706EB"/>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D11"/>
    <w:rsid w:val="00576D28"/>
    <w:rsid w:val="00576E7A"/>
    <w:rsid w:val="0057700D"/>
    <w:rsid w:val="00577128"/>
    <w:rsid w:val="00577549"/>
    <w:rsid w:val="00577AB0"/>
    <w:rsid w:val="00577B4F"/>
    <w:rsid w:val="00577CC4"/>
    <w:rsid w:val="00577E3F"/>
    <w:rsid w:val="00580221"/>
    <w:rsid w:val="00580638"/>
    <w:rsid w:val="00580883"/>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1EE"/>
    <w:rsid w:val="005862EB"/>
    <w:rsid w:val="00586406"/>
    <w:rsid w:val="00586532"/>
    <w:rsid w:val="005866F3"/>
    <w:rsid w:val="005867D4"/>
    <w:rsid w:val="00586C1C"/>
    <w:rsid w:val="00586E78"/>
    <w:rsid w:val="005873A2"/>
    <w:rsid w:val="00587660"/>
    <w:rsid w:val="005876C2"/>
    <w:rsid w:val="005876E4"/>
    <w:rsid w:val="005878B0"/>
    <w:rsid w:val="00587A39"/>
    <w:rsid w:val="00590518"/>
    <w:rsid w:val="005906E3"/>
    <w:rsid w:val="005907CF"/>
    <w:rsid w:val="005908B9"/>
    <w:rsid w:val="00590B77"/>
    <w:rsid w:val="00590EEF"/>
    <w:rsid w:val="00590F5D"/>
    <w:rsid w:val="005910E8"/>
    <w:rsid w:val="0059152D"/>
    <w:rsid w:val="005918A2"/>
    <w:rsid w:val="00591B4B"/>
    <w:rsid w:val="00591C58"/>
    <w:rsid w:val="00591CB1"/>
    <w:rsid w:val="00591CD6"/>
    <w:rsid w:val="00591DB2"/>
    <w:rsid w:val="00591F8F"/>
    <w:rsid w:val="005922CB"/>
    <w:rsid w:val="005924AC"/>
    <w:rsid w:val="0059288A"/>
    <w:rsid w:val="00592946"/>
    <w:rsid w:val="00592A36"/>
    <w:rsid w:val="00592C65"/>
    <w:rsid w:val="00592CD0"/>
    <w:rsid w:val="00592ECC"/>
    <w:rsid w:val="00592F4C"/>
    <w:rsid w:val="005937FA"/>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23C"/>
    <w:rsid w:val="005A5419"/>
    <w:rsid w:val="005A567E"/>
    <w:rsid w:val="005A58C0"/>
    <w:rsid w:val="005A5B17"/>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FE3"/>
    <w:rsid w:val="005B516E"/>
    <w:rsid w:val="005B530B"/>
    <w:rsid w:val="005B5376"/>
    <w:rsid w:val="005B5888"/>
    <w:rsid w:val="005B5900"/>
    <w:rsid w:val="005B629C"/>
    <w:rsid w:val="005B6E02"/>
    <w:rsid w:val="005B7168"/>
    <w:rsid w:val="005B7351"/>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348"/>
    <w:rsid w:val="005C15C7"/>
    <w:rsid w:val="005C1843"/>
    <w:rsid w:val="005C1A3C"/>
    <w:rsid w:val="005C2081"/>
    <w:rsid w:val="005C22D2"/>
    <w:rsid w:val="005C26F2"/>
    <w:rsid w:val="005C2762"/>
    <w:rsid w:val="005C2A9F"/>
    <w:rsid w:val="005C2D99"/>
    <w:rsid w:val="005C2EC7"/>
    <w:rsid w:val="005C2FD0"/>
    <w:rsid w:val="005C38B8"/>
    <w:rsid w:val="005C39E4"/>
    <w:rsid w:val="005C3B10"/>
    <w:rsid w:val="005C3FE6"/>
    <w:rsid w:val="005C402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A7B"/>
    <w:rsid w:val="005D00B0"/>
    <w:rsid w:val="005D0365"/>
    <w:rsid w:val="005D051B"/>
    <w:rsid w:val="005D0541"/>
    <w:rsid w:val="005D055B"/>
    <w:rsid w:val="005D0BD7"/>
    <w:rsid w:val="005D0C65"/>
    <w:rsid w:val="005D0D53"/>
    <w:rsid w:val="005D0E49"/>
    <w:rsid w:val="005D0F3D"/>
    <w:rsid w:val="005D1027"/>
    <w:rsid w:val="005D10E6"/>
    <w:rsid w:val="005D134B"/>
    <w:rsid w:val="005D1356"/>
    <w:rsid w:val="005D15C3"/>
    <w:rsid w:val="005D19EE"/>
    <w:rsid w:val="005D21A8"/>
    <w:rsid w:val="005D2282"/>
    <w:rsid w:val="005D2687"/>
    <w:rsid w:val="005D2702"/>
    <w:rsid w:val="005D2799"/>
    <w:rsid w:val="005D282C"/>
    <w:rsid w:val="005D32B1"/>
    <w:rsid w:val="005D32FA"/>
    <w:rsid w:val="005D332D"/>
    <w:rsid w:val="005D3465"/>
    <w:rsid w:val="005D389E"/>
    <w:rsid w:val="005D3B0B"/>
    <w:rsid w:val="005D3D4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5B4"/>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1AC"/>
    <w:rsid w:val="005D724D"/>
    <w:rsid w:val="005D778F"/>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8D"/>
    <w:rsid w:val="005F66EC"/>
    <w:rsid w:val="005F6808"/>
    <w:rsid w:val="005F691A"/>
    <w:rsid w:val="005F6B04"/>
    <w:rsid w:val="005F6B69"/>
    <w:rsid w:val="005F6D07"/>
    <w:rsid w:val="005F702F"/>
    <w:rsid w:val="005F7034"/>
    <w:rsid w:val="005F7176"/>
    <w:rsid w:val="005F7734"/>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C4B"/>
    <w:rsid w:val="00600DBD"/>
    <w:rsid w:val="00600E98"/>
    <w:rsid w:val="00600EBB"/>
    <w:rsid w:val="00600F02"/>
    <w:rsid w:val="00601159"/>
    <w:rsid w:val="006014AD"/>
    <w:rsid w:val="00601775"/>
    <w:rsid w:val="00601924"/>
    <w:rsid w:val="00601E72"/>
    <w:rsid w:val="00601EBF"/>
    <w:rsid w:val="006021E0"/>
    <w:rsid w:val="00602652"/>
    <w:rsid w:val="0060287E"/>
    <w:rsid w:val="006031D1"/>
    <w:rsid w:val="006039FD"/>
    <w:rsid w:val="00604015"/>
    <w:rsid w:val="006041B5"/>
    <w:rsid w:val="0060429E"/>
    <w:rsid w:val="00604309"/>
    <w:rsid w:val="0060441F"/>
    <w:rsid w:val="006044D2"/>
    <w:rsid w:val="006044D9"/>
    <w:rsid w:val="00604687"/>
    <w:rsid w:val="0060490F"/>
    <w:rsid w:val="00604961"/>
    <w:rsid w:val="00604FD9"/>
    <w:rsid w:val="006051D3"/>
    <w:rsid w:val="00605269"/>
    <w:rsid w:val="006052D3"/>
    <w:rsid w:val="0060565E"/>
    <w:rsid w:val="00605780"/>
    <w:rsid w:val="006057E5"/>
    <w:rsid w:val="00605868"/>
    <w:rsid w:val="0060597E"/>
    <w:rsid w:val="00605DDB"/>
    <w:rsid w:val="006062B4"/>
    <w:rsid w:val="006063EA"/>
    <w:rsid w:val="006068E5"/>
    <w:rsid w:val="00606CB7"/>
    <w:rsid w:val="00606D9F"/>
    <w:rsid w:val="00606F08"/>
    <w:rsid w:val="00606F4F"/>
    <w:rsid w:val="0060729F"/>
    <w:rsid w:val="0060761D"/>
    <w:rsid w:val="00607B4D"/>
    <w:rsid w:val="00607B83"/>
    <w:rsid w:val="00607CF5"/>
    <w:rsid w:val="00607D99"/>
    <w:rsid w:val="00607F8D"/>
    <w:rsid w:val="00610172"/>
    <w:rsid w:val="00610485"/>
    <w:rsid w:val="006104EE"/>
    <w:rsid w:val="00610723"/>
    <w:rsid w:val="006107CD"/>
    <w:rsid w:val="00610ACB"/>
    <w:rsid w:val="00610DDD"/>
    <w:rsid w:val="006115B4"/>
    <w:rsid w:val="0061185C"/>
    <w:rsid w:val="006119F1"/>
    <w:rsid w:val="00611B73"/>
    <w:rsid w:val="00611B97"/>
    <w:rsid w:val="00611CD2"/>
    <w:rsid w:val="006121DB"/>
    <w:rsid w:val="00612350"/>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A2C"/>
    <w:rsid w:val="00615C83"/>
    <w:rsid w:val="00615D0F"/>
    <w:rsid w:val="00615E34"/>
    <w:rsid w:val="00615FF1"/>
    <w:rsid w:val="006162C6"/>
    <w:rsid w:val="00616477"/>
    <w:rsid w:val="0061664C"/>
    <w:rsid w:val="00616B28"/>
    <w:rsid w:val="00616D1A"/>
    <w:rsid w:val="00616F18"/>
    <w:rsid w:val="00617063"/>
    <w:rsid w:val="0061710E"/>
    <w:rsid w:val="006172C5"/>
    <w:rsid w:val="00617567"/>
    <w:rsid w:val="00617C09"/>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301D"/>
    <w:rsid w:val="006230C9"/>
    <w:rsid w:val="00623502"/>
    <w:rsid w:val="00623627"/>
    <w:rsid w:val="0062369B"/>
    <w:rsid w:val="00623952"/>
    <w:rsid w:val="00623C35"/>
    <w:rsid w:val="00623CBD"/>
    <w:rsid w:val="00623E9A"/>
    <w:rsid w:val="00623F9E"/>
    <w:rsid w:val="00624416"/>
    <w:rsid w:val="006247C2"/>
    <w:rsid w:val="00624A52"/>
    <w:rsid w:val="00624DD2"/>
    <w:rsid w:val="00624F13"/>
    <w:rsid w:val="00625051"/>
    <w:rsid w:val="006250BC"/>
    <w:rsid w:val="006250BD"/>
    <w:rsid w:val="00625298"/>
    <w:rsid w:val="0062565F"/>
    <w:rsid w:val="006257E3"/>
    <w:rsid w:val="00625873"/>
    <w:rsid w:val="00625955"/>
    <w:rsid w:val="00625978"/>
    <w:rsid w:val="00625985"/>
    <w:rsid w:val="00625DD1"/>
    <w:rsid w:val="00625E0D"/>
    <w:rsid w:val="00625FB8"/>
    <w:rsid w:val="0062630B"/>
    <w:rsid w:val="0062641F"/>
    <w:rsid w:val="00626465"/>
    <w:rsid w:val="00626672"/>
    <w:rsid w:val="00626B3B"/>
    <w:rsid w:val="00626B9F"/>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B02"/>
    <w:rsid w:val="00630E8D"/>
    <w:rsid w:val="00630FB8"/>
    <w:rsid w:val="00631251"/>
    <w:rsid w:val="006312ED"/>
    <w:rsid w:val="00631423"/>
    <w:rsid w:val="006314FB"/>
    <w:rsid w:val="00631722"/>
    <w:rsid w:val="0063180F"/>
    <w:rsid w:val="00631B58"/>
    <w:rsid w:val="006320A2"/>
    <w:rsid w:val="006323FC"/>
    <w:rsid w:val="0063242C"/>
    <w:rsid w:val="00632710"/>
    <w:rsid w:val="0063273D"/>
    <w:rsid w:val="0063293D"/>
    <w:rsid w:val="00632CFB"/>
    <w:rsid w:val="00632DFB"/>
    <w:rsid w:val="006332F5"/>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5CA"/>
    <w:rsid w:val="0065266C"/>
    <w:rsid w:val="00652801"/>
    <w:rsid w:val="006528B1"/>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8E5"/>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C08"/>
    <w:rsid w:val="00663E2A"/>
    <w:rsid w:val="00663EA1"/>
    <w:rsid w:val="00664250"/>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F07"/>
    <w:rsid w:val="00666287"/>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2387"/>
    <w:rsid w:val="00672425"/>
    <w:rsid w:val="006725CB"/>
    <w:rsid w:val="0067264E"/>
    <w:rsid w:val="0067279D"/>
    <w:rsid w:val="006729B7"/>
    <w:rsid w:val="00672C73"/>
    <w:rsid w:val="00672C96"/>
    <w:rsid w:val="00672CA4"/>
    <w:rsid w:val="00672E2E"/>
    <w:rsid w:val="006731AB"/>
    <w:rsid w:val="006735FB"/>
    <w:rsid w:val="006736B5"/>
    <w:rsid w:val="00673710"/>
    <w:rsid w:val="0067390C"/>
    <w:rsid w:val="00673ADF"/>
    <w:rsid w:val="00673CC7"/>
    <w:rsid w:val="00673CDA"/>
    <w:rsid w:val="00673DC5"/>
    <w:rsid w:val="00673EE2"/>
    <w:rsid w:val="006746A7"/>
    <w:rsid w:val="006747E6"/>
    <w:rsid w:val="00675357"/>
    <w:rsid w:val="0067544C"/>
    <w:rsid w:val="006754AB"/>
    <w:rsid w:val="006754E4"/>
    <w:rsid w:val="006757F0"/>
    <w:rsid w:val="00675BCD"/>
    <w:rsid w:val="00675F2D"/>
    <w:rsid w:val="00675F74"/>
    <w:rsid w:val="00676223"/>
    <w:rsid w:val="00676287"/>
    <w:rsid w:val="006762BA"/>
    <w:rsid w:val="006763AA"/>
    <w:rsid w:val="0067654F"/>
    <w:rsid w:val="006767F7"/>
    <w:rsid w:val="006768EA"/>
    <w:rsid w:val="0067696B"/>
    <w:rsid w:val="006769E9"/>
    <w:rsid w:val="006769FC"/>
    <w:rsid w:val="00676A9F"/>
    <w:rsid w:val="00676AD6"/>
    <w:rsid w:val="00676B4E"/>
    <w:rsid w:val="00676F78"/>
    <w:rsid w:val="00677426"/>
    <w:rsid w:val="00677629"/>
    <w:rsid w:val="0067790E"/>
    <w:rsid w:val="00677D66"/>
    <w:rsid w:val="00680344"/>
    <w:rsid w:val="0068040E"/>
    <w:rsid w:val="006807F8"/>
    <w:rsid w:val="00680873"/>
    <w:rsid w:val="00680ECB"/>
    <w:rsid w:val="00680F7A"/>
    <w:rsid w:val="00680F9C"/>
    <w:rsid w:val="0068135F"/>
    <w:rsid w:val="006813F6"/>
    <w:rsid w:val="00681570"/>
    <w:rsid w:val="00681A6F"/>
    <w:rsid w:val="00681BA7"/>
    <w:rsid w:val="00681C47"/>
    <w:rsid w:val="00681CAE"/>
    <w:rsid w:val="00681CCB"/>
    <w:rsid w:val="00681EDD"/>
    <w:rsid w:val="006820CC"/>
    <w:rsid w:val="006829F8"/>
    <w:rsid w:val="00682A39"/>
    <w:rsid w:val="00682DE2"/>
    <w:rsid w:val="00682FAD"/>
    <w:rsid w:val="006832EE"/>
    <w:rsid w:val="00683376"/>
    <w:rsid w:val="006833A4"/>
    <w:rsid w:val="006835C9"/>
    <w:rsid w:val="00683956"/>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59"/>
    <w:rsid w:val="006931F2"/>
    <w:rsid w:val="006937C6"/>
    <w:rsid w:val="006939B3"/>
    <w:rsid w:val="00693ACB"/>
    <w:rsid w:val="00693C80"/>
    <w:rsid w:val="00694021"/>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896"/>
    <w:rsid w:val="00696994"/>
    <w:rsid w:val="00696A11"/>
    <w:rsid w:val="00696C0E"/>
    <w:rsid w:val="00696C45"/>
    <w:rsid w:val="00696CF0"/>
    <w:rsid w:val="00696F11"/>
    <w:rsid w:val="00696FFE"/>
    <w:rsid w:val="006970F3"/>
    <w:rsid w:val="00697244"/>
    <w:rsid w:val="006972D1"/>
    <w:rsid w:val="006974BD"/>
    <w:rsid w:val="006975BD"/>
    <w:rsid w:val="006977A1"/>
    <w:rsid w:val="00697853"/>
    <w:rsid w:val="00697CCF"/>
    <w:rsid w:val="00697F9B"/>
    <w:rsid w:val="00697FBE"/>
    <w:rsid w:val="006A0156"/>
    <w:rsid w:val="006A0282"/>
    <w:rsid w:val="006A0423"/>
    <w:rsid w:val="006A0AE5"/>
    <w:rsid w:val="006A0B98"/>
    <w:rsid w:val="006A102A"/>
    <w:rsid w:val="006A11B2"/>
    <w:rsid w:val="006A15E8"/>
    <w:rsid w:val="006A16FD"/>
    <w:rsid w:val="006A1D59"/>
    <w:rsid w:val="006A1FBF"/>
    <w:rsid w:val="006A25E8"/>
    <w:rsid w:val="006A2986"/>
    <w:rsid w:val="006A29C1"/>
    <w:rsid w:val="006A2CFB"/>
    <w:rsid w:val="006A2F2E"/>
    <w:rsid w:val="006A30E0"/>
    <w:rsid w:val="006A31E3"/>
    <w:rsid w:val="006A333D"/>
    <w:rsid w:val="006A39C4"/>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A69"/>
    <w:rsid w:val="006A6ACA"/>
    <w:rsid w:val="006A6BF5"/>
    <w:rsid w:val="006A6C1A"/>
    <w:rsid w:val="006A6CF8"/>
    <w:rsid w:val="006A702A"/>
    <w:rsid w:val="006A7739"/>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297"/>
    <w:rsid w:val="006B4345"/>
    <w:rsid w:val="006B4457"/>
    <w:rsid w:val="006B466E"/>
    <w:rsid w:val="006B4832"/>
    <w:rsid w:val="006B4CB0"/>
    <w:rsid w:val="006B4CD1"/>
    <w:rsid w:val="006B508F"/>
    <w:rsid w:val="006B521B"/>
    <w:rsid w:val="006B5263"/>
    <w:rsid w:val="006B5307"/>
    <w:rsid w:val="006B5337"/>
    <w:rsid w:val="006B5571"/>
    <w:rsid w:val="006B559B"/>
    <w:rsid w:val="006B5626"/>
    <w:rsid w:val="006B56E8"/>
    <w:rsid w:val="006B5821"/>
    <w:rsid w:val="006B59BB"/>
    <w:rsid w:val="006B60E0"/>
    <w:rsid w:val="006B6134"/>
    <w:rsid w:val="006B61E6"/>
    <w:rsid w:val="006B6303"/>
    <w:rsid w:val="006B6578"/>
    <w:rsid w:val="006B6D2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C13"/>
    <w:rsid w:val="006D4C1C"/>
    <w:rsid w:val="006D5035"/>
    <w:rsid w:val="006D512A"/>
    <w:rsid w:val="006D51B1"/>
    <w:rsid w:val="006D51CB"/>
    <w:rsid w:val="006D51FB"/>
    <w:rsid w:val="006D545D"/>
    <w:rsid w:val="006D55DC"/>
    <w:rsid w:val="006D5A16"/>
    <w:rsid w:val="006D5AF9"/>
    <w:rsid w:val="006D5D66"/>
    <w:rsid w:val="006D5E15"/>
    <w:rsid w:val="006D6472"/>
    <w:rsid w:val="006D665E"/>
    <w:rsid w:val="006D66B6"/>
    <w:rsid w:val="006D701A"/>
    <w:rsid w:val="006D70D1"/>
    <w:rsid w:val="006D71A8"/>
    <w:rsid w:val="006D73D6"/>
    <w:rsid w:val="006D742E"/>
    <w:rsid w:val="006D756C"/>
    <w:rsid w:val="006D7703"/>
    <w:rsid w:val="006D777E"/>
    <w:rsid w:val="006D780C"/>
    <w:rsid w:val="006D7B6C"/>
    <w:rsid w:val="006D7C36"/>
    <w:rsid w:val="006D7F64"/>
    <w:rsid w:val="006D7F6C"/>
    <w:rsid w:val="006E04C8"/>
    <w:rsid w:val="006E0CE9"/>
    <w:rsid w:val="006E0D4B"/>
    <w:rsid w:val="006E0EA7"/>
    <w:rsid w:val="006E0F43"/>
    <w:rsid w:val="006E0FB2"/>
    <w:rsid w:val="006E0FDC"/>
    <w:rsid w:val="006E116A"/>
    <w:rsid w:val="006E12D4"/>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812"/>
    <w:rsid w:val="006E3869"/>
    <w:rsid w:val="006E3BBD"/>
    <w:rsid w:val="006E3E7D"/>
    <w:rsid w:val="006E3EDA"/>
    <w:rsid w:val="006E3FB3"/>
    <w:rsid w:val="006E411A"/>
    <w:rsid w:val="006E41A6"/>
    <w:rsid w:val="006E43C3"/>
    <w:rsid w:val="006E4F42"/>
    <w:rsid w:val="006E4F5F"/>
    <w:rsid w:val="006E50F4"/>
    <w:rsid w:val="006E5484"/>
    <w:rsid w:val="006E55FB"/>
    <w:rsid w:val="006E5991"/>
    <w:rsid w:val="006E5A02"/>
    <w:rsid w:val="006E5AD9"/>
    <w:rsid w:val="006E5C87"/>
    <w:rsid w:val="006E5E86"/>
    <w:rsid w:val="006E61D7"/>
    <w:rsid w:val="006E623F"/>
    <w:rsid w:val="006E6503"/>
    <w:rsid w:val="006E6724"/>
    <w:rsid w:val="006E680C"/>
    <w:rsid w:val="006E6A73"/>
    <w:rsid w:val="006E6D8A"/>
    <w:rsid w:val="006E70C2"/>
    <w:rsid w:val="006E7456"/>
    <w:rsid w:val="006E7460"/>
    <w:rsid w:val="006E7745"/>
    <w:rsid w:val="006E792E"/>
    <w:rsid w:val="006E7CEA"/>
    <w:rsid w:val="006E7D4B"/>
    <w:rsid w:val="006E7F12"/>
    <w:rsid w:val="006F0200"/>
    <w:rsid w:val="006F0249"/>
    <w:rsid w:val="006F0412"/>
    <w:rsid w:val="006F04FB"/>
    <w:rsid w:val="006F060E"/>
    <w:rsid w:val="006F0942"/>
    <w:rsid w:val="006F096A"/>
    <w:rsid w:val="006F10F1"/>
    <w:rsid w:val="006F112D"/>
    <w:rsid w:val="006F114B"/>
    <w:rsid w:val="006F12F4"/>
    <w:rsid w:val="006F154D"/>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F05"/>
    <w:rsid w:val="006F4F9C"/>
    <w:rsid w:val="006F500B"/>
    <w:rsid w:val="006F57CD"/>
    <w:rsid w:val="006F590D"/>
    <w:rsid w:val="006F5922"/>
    <w:rsid w:val="006F5AB4"/>
    <w:rsid w:val="006F5B17"/>
    <w:rsid w:val="006F5B3D"/>
    <w:rsid w:val="006F5DE1"/>
    <w:rsid w:val="006F5E17"/>
    <w:rsid w:val="006F62BD"/>
    <w:rsid w:val="006F64CD"/>
    <w:rsid w:val="006F6520"/>
    <w:rsid w:val="006F6653"/>
    <w:rsid w:val="006F66EA"/>
    <w:rsid w:val="006F6D51"/>
    <w:rsid w:val="006F6F4D"/>
    <w:rsid w:val="006F6F51"/>
    <w:rsid w:val="006F7224"/>
    <w:rsid w:val="006F733D"/>
    <w:rsid w:val="006F7639"/>
    <w:rsid w:val="006F7AA3"/>
    <w:rsid w:val="006F7CC5"/>
    <w:rsid w:val="006F7F1F"/>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1D"/>
    <w:rsid w:val="00701A30"/>
    <w:rsid w:val="00701A69"/>
    <w:rsid w:val="00701C54"/>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B3"/>
    <w:rsid w:val="007119C4"/>
    <w:rsid w:val="00711A1A"/>
    <w:rsid w:val="00711BCB"/>
    <w:rsid w:val="00711C3A"/>
    <w:rsid w:val="00711CE9"/>
    <w:rsid w:val="00711FDF"/>
    <w:rsid w:val="00712186"/>
    <w:rsid w:val="00712300"/>
    <w:rsid w:val="00712327"/>
    <w:rsid w:val="00712344"/>
    <w:rsid w:val="00712497"/>
    <w:rsid w:val="0071294C"/>
    <w:rsid w:val="007129EF"/>
    <w:rsid w:val="00712D21"/>
    <w:rsid w:val="00713086"/>
    <w:rsid w:val="007133EF"/>
    <w:rsid w:val="00713834"/>
    <w:rsid w:val="007139DF"/>
    <w:rsid w:val="0071437D"/>
    <w:rsid w:val="007144FD"/>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A5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F7"/>
    <w:rsid w:val="007254C2"/>
    <w:rsid w:val="00725536"/>
    <w:rsid w:val="007256E3"/>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329E"/>
    <w:rsid w:val="007533D5"/>
    <w:rsid w:val="0075363C"/>
    <w:rsid w:val="007536E3"/>
    <w:rsid w:val="00753B24"/>
    <w:rsid w:val="00753C70"/>
    <w:rsid w:val="00753C7F"/>
    <w:rsid w:val="00753E04"/>
    <w:rsid w:val="00753E08"/>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ED"/>
    <w:rsid w:val="007574A2"/>
    <w:rsid w:val="007576D0"/>
    <w:rsid w:val="007578D9"/>
    <w:rsid w:val="00757ACB"/>
    <w:rsid w:val="00757B0C"/>
    <w:rsid w:val="0076079E"/>
    <w:rsid w:val="0076089C"/>
    <w:rsid w:val="00760A08"/>
    <w:rsid w:val="0076101A"/>
    <w:rsid w:val="007613BC"/>
    <w:rsid w:val="00761421"/>
    <w:rsid w:val="007614CC"/>
    <w:rsid w:val="0076156A"/>
    <w:rsid w:val="00761715"/>
    <w:rsid w:val="00761960"/>
    <w:rsid w:val="00761AD9"/>
    <w:rsid w:val="00761E2E"/>
    <w:rsid w:val="007621A9"/>
    <w:rsid w:val="0076220B"/>
    <w:rsid w:val="00762527"/>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33E"/>
    <w:rsid w:val="00765350"/>
    <w:rsid w:val="007654A2"/>
    <w:rsid w:val="007655F4"/>
    <w:rsid w:val="00765772"/>
    <w:rsid w:val="00765C84"/>
    <w:rsid w:val="00766318"/>
    <w:rsid w:val="00766489"/>
    <w:rsid w:val="0076677F"/>
    <w:rsid w:val="00766AF1"/>
    <w:rsid w:val="00766CC2"/>
    <w:rsid w:val="00766D05"/>
    <w:rsid w:val="00766F61"/>
    <w:rsid w:val="00766FBE"/>
    <w:rsid w:val="00766FF2"/>
    <w:rsid w:val="007674F0"/>
    <w:rsid w:val="00767577"/>
    <w:rsid w:val="00767C14"/>
    <w:rsid w:val="00767C78"/>
    <w:rsid w:val="00767CA5"/>
    <w:rsid w:val="00767F0E"/>
    <w:rsid w:val="00770192"/>
    <w:rsid w:val="00770604"/>
    <w:rsid w:val="00770AA8"/>
    <w:rsid w:val="00770C6F"/>
    <w:rsid w:val="00770CE6"/>
    <w:rsid w:val="0077100A"/>
    <w:rsid w:val="007712EC"/>
    <w:rsid w:val="007713B7"/>
    <w:rsid w:val="00771430"/>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5107"/>
    <w:rsid w:val="0077516A"/>
    <w:rsid w:val="00775234"/>
    <w:rsid w:val="00775257"/>
    <w:rsid w:val="0077571A"/>
    <w:rsid w:val="007759C5"/>
    <w:rsid w:val="00775AD4"/>
    <w:rsid w:val="00775B4E"/>
    <w:rsid w:val="00775BCB"/>
    <w:rsid w:val="00775BFB"/>
    <w:rsid w:val="00775ED9"/>
    <w:rsid w:val="00775F4B"/>
    <w:rsid w:val="00776457"/>
    <w:rsid w:val="00776462"/>
    <w:rsid w:val="007768D4"/>
    <w:rsid w:val="00776A20"/>
    <w:rsid w:val="00777148"/>
    <w:rsid w:val="00777452"/>
    <w:rsid w:val="007774D3"/>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5B9"/>
    <w:rsid w:val="007929E7"/>
    <w:rsid w:val="007929F5"/>
    <w:rsid w:val="00792B43"/>
    <w:rsid w:val="00792BB4"/>
    <w:rsid w:val="00792D8C"/>
    <w:rsid w:val="00792EB7"/>
    <w:rsid w:val="007930DE"/>
    <w:rsid w:val="0079365B"/>
    <w:rsid w:val="007937B7"/>
    <w:rsid w:val="0079383F"/>
    <w:rsid w:val="007938F6"/>
    <w:rsid w:val="00793B9A"/>
    <w:rsid w:val="007940A4"/>
    <w:rsid w:val="0079419F"/>
    <w:rsid w:val="00794283"/>
    <w:rsid w:val="007942B9"/>
    <w:rsid w:val="00794739"/>
    <w:rsid w:val="007947F1"/>
    <w:rsid w:val="00794ADD"/>
    <w:rsid w:val="00794E56"/>
    <w:rsid w:val="007950F0"/>
    <w:rsid w:val="007950FA"/>
    <w:rsid w:val="00795240"/>
    <w:rsid w:val="00795471"/>
    <w:rsid w:val="00795486"/>
    <w:rsid w:val="00795647"/>
    <w:rsid w:val="00795831"/>
    <w:rsid w:val="0079586B"/>
    <w:rsid w:val="00795A08"/>
    <w:rsid w:val="00795C06"/>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DE"/>
    <w:rsid w:val="007A13F6"/>
    <w:rsid w:val="007A144C"/>
    <w:rsid w:val="007A1629"/>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F16"/>
    <w:rsid w:val="007A4164"/>
    <w:rsid w:val="007A41F6"/>
    <w:rsid w:val="007A4220"/>
    <w:rsid w:val="007A4473"/>
    <w:rsid w:val="007A454A"/>
    <w:rsid w:val="007A45ED"/>
    <w:rsid w:val="007A4947"/>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D3B"/>
    <w:rsid w:val="007B2D9F"/>
    <w:rsid w:val="007B2E5D"/>
    <w:rsid w:val="007B32DC"/>
    <w:rsid w:val="007B35C8"/>
    <w:rsid w:val="007B3672"/>
    <w:rsid w:val="007B36FD"/>
    <w:rsid w:val="007B3A92"/>
    <w:rsid w:val="007B3BB7"/>
    <w:rsid w:val="007B3BBB"/>
    <w:rsid w:val="007B3C84"/>
    <w:rsid w:val="007B3D51"/>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282"/>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45C"/>
    <w:rsid w:val="007C445F"/>
    <w:rsid w:val="007C45A8"/>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B25"/>
    <w:rsid w:val="007D1BE4"/>
    <w:rsid w:val="007D1D92"/>
    <w:rsid w:val="007D1F44"/>
    <w:rsid w:val="007D2028"/>
    <w:rsid w:val="007D2087"/>
    <w:rsid w:val="007D23E9"/>
    <w:rsid w:val="007D23F1"/>
    <w:rsid w:val="007D27E1"/>
    <w:rsid w:val="007D2AB8"/>
    <w:rsid w:val="007D2B55"/>
    <w:rsid w:val="007D2BE2"/>
    <w:rsid w:val="007D2C50"/>
    <w:rsid w:val="007D2D4A"/>
    <w:rsid w:val="007D2D85"/>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BF"/>
    <w:rsid w:val="007E67A8"/>
    <w:rsid w:val="007E6C47"/>
    <w:rsid w:val="007E6D92"/>
    <w:rsid w:val="007E6E52"/>
    <w:rsid w:val="007E6EA9"/>
    <w:rsid w:val="007E6EE6"/>
    <w:rsid w:val="007E74FF"/>
    <w:rsid w:val="007E798D"/>
    <w:rsid w:val="007E7B58"/>
    <w:rsid w:val="007E7C31"/>
    <w:rsid w:val="007E7C9E"/>
    <w:rsid w:val="007F0181"/>
    <w:rsid w:val="007F0216"/>
    <w:rsid w:val="007F0260"/>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F3F"/>
    <w:rsid w:val="007F20B3"/>
    <w:rsid w:val="007F20D0"/>
    <w:rsid w:val="007F2459"/>
    <w:rsid w:val="007F2799"/>
    <w:rsid w:val="007F2846"/>
    <w:rsid w:val="007F2968"/>
    <w:rsid w:val="007F2A44"/>
    <w:rsid w:val="007F2C2A"/>
    <w:rsid w:val="007F2C7D"/>
    <w:rsid w:val="007F2E23"/>
    <w:rsid w:val="007F2F38"/>
    <w:rsid w:val="007F3047"/>
    <w:rsid w:val="007F3154"/>
    <w:rsid w:val="007F3159"/>
    <w:rsid w:val="007F37B3"/>
    <w:rsid w:val="007F39CA"/>
    <w:rsid w:val="007F3B63"/>
    <w:rsid w:val="007F3F47"/>
    <w:rsid w:val="007F429B"/>
    <w:rsid w:val="007F4386"/>
    <w:rsid w:val="007F43B5"/>
    <w:rsid w:val="007F4561"/>
    <w:rsid w:val="007F4C0C"/>
    <w:rsid w:val="007F4D1A"/>
    <w:rsid w:val="007F4D83"/>
    <w:rsid w:val="007F4EFF"/>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602"/>
    <w:rsid w:val="007F7606"/>
    <w:rsid w:val="007F7829"/>
    <w:rsid w:val="007F7B91"/>
    <w:rsid w:val="007F7C56"/>
    <w:rsid w:val="007F7D17"/>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7FA"/>
    <w:rsid w:val="0080580D"/>
    <w:rsid w:val="00805878"/>
    <w:rsid w:val="00805A7E"/>
    <w:rsid w:val="00806530"/>
    <w:rsid w:val="008066DC"/>
    <w:rsid w:val="008067A1"/>
    <w:rsid w:val="008067BB"/>
    <w:rsid w:val="00806DC2"/>
    <w:rsid w:val="00807210"/>
    <w:rsid w:val="00807270"/>
    <w:rsid w:val="0080739E"/>
    <w:rsid w:val="008076A2"/>
    <w:rsid w:val="0080773E"/>
    <w:rsid w:val="00807980"/>
    <w:rsid w:val="008079FC"/>
    <w:rsid w:val="00807D21"/>
    <w:rsid w:val="008102D3"/>
    <w:rsid w:val="0081046D"/>
    <w:rsid w:val="0081053E"/>
    <w:rsid w:val="00810646"/>
    <w:rsid w:val="0081068B"/>
    <w:rsid w:val="008107BB"/>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E0B"/>
    <w:rsid w:val="00813EDA"/>
    <w:rsid w:val="0081428C"/>
    <w:rsid w:val="008143FE"/>
    <w:rsid w:val="008147B7"/>
    <w:rsid w:val="00814939"/>
    <w:rsid w:val="0081495B"/>
    <w:rsid w:val="00814AB7"/>
    <w:rsid w:val="00814BA2"/>
    <w:rsid w:val="00814C63"/>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51E"/>
    <w:rsid w:val="008227F0"/>
    <w:rsid w:val="00822B9C"/>
    <w:rsid w:val="00822E57"/>
    <w:rsid w:val="00822EF1"/>
    <w:rsid w:val="00822F23"/>
    <w:rsid w:val="00823262"/>
    <w:rsid w:val="00823331"/>
    <w:rsid w:val="0082380B"/>
    <w:rsid w:val="00823A8C"/>
    <w:rsid w:val="00823D27"/>
    <w:rsid w:val="00824170"/>
    <w:rsid w:val="00824199"/>
    <w:rsid w:val="0082457A"/>
    <w:rsid w:val="008248B2"/>
    <w:rsid w:val="00824993"/>
    <w:rsid w:val="00824B65"/>
    <w:rsid w:val="00824C23"/>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E9"/>
    <w:rsid w:val="00832D4A"/>
    <w:rsid w:val="00832DC7"/>
    <w:rsid w:val="00832E5F"/>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B51"/>
    <w:rsid w:val="00842C33"/>
    <w:rsid w:val="00842DB4"/>
    <w:rsid w:val="00842EFB"/>
    <w:rsid w:val="00843145"/>
    <w:rsid w:val="00843449"/>
    <w:rsid w:val="00843580"/>
    <w:rsid w:val="00843711"/>
    <w:rsid w:val="0084387E"/>
    <w:rsid w:val="00843C90"/>
    <w:rsid w:val="00843DB9"/>
    <w:rsid w:val="008443AB"/>
    <w:rsid w:val="00844619"/>
    <w:rsid w:val="0084477C"/>
    <w:rsid w:val="00844B6F"/>
    <w:rsid w:val="00844E38"/>
    <w:rsid w:val="00844EDC"/>
    <w:rsid w:val="0084526C"/>
    <w:rsid w:val="0084530F"/>
    <w:rsid w:val="008454B6"/>
    <w:rsid w:val="008455EF"/>
    <w:rsid w:val="008457BB"/>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75"/>
    <w:rsid w:val="00850FE4"/>
    <w:rsid w:val="0085119C"/>
    <w:rsid w:val="008513FF"/>
    <w:rsid w:val="00851890"/>
    <w:rsid w:val="00852038"/>
    <w:rsid w:val="0085206C"/>
    <w:rsid w:val="008520B3"/>
    <w:rsid w:val="008525A2"/>
    <w:rsid w:val="008525EB"/>
    <w:rsid w:val="00852BB3"/>
    <w:rsid w:val="00852DE9"/>
    <w:rsid w:val="008531C6"/>
    <w:rsid w:val="008533C5"/>
    <w:rsid w:val="00853F47"/>
    <w:rsid w:val="00853F82"/>
    <w:rsid w:val="00853FBE"/>
    <w:rsid w:val="008540B8"/>
    <w:rsid w:val="008546F3"/>
    <w:rsid w:val="00854787"/>
    <w:rsid w:val="008547C4"/>
    <w:rsid w:val="00854A82"/>
    <w:rsid w:val="00854BAE"/>
    <w:rsid w:val="00854C63"/>
    <w:rsid w:val="0085526B"/>
    <w:rsid w:val="008556B8"/>
    <w:rsid w:val="008558FA"/>
    <w:rsid w:val="00855B0A"/>
    <w:rsid w:val="00855C27"/>
    <w:rsid w:val="00855F2F"/>
    <w:rsid w:val="00855F66"/>
    <w:rsid w:val="00856185"/>
    <w:rsid w:val="008562BF"/>
    <w:rsid w:val="00856603"/>
    <w:rsid w:val="0085668D"/>
    <w:rsid w:val="00856C99"/>
    <w:rsid w:val="00856FE4"/>
    <w:rsid w:val="008573AD"/>
    <w:rsid w:val="0085753A"/>
    <w:rsid w:val="0085758D"/>
    <w:rsid w:val="00857595"/>
    <w:rsid w:val="00857B0F"/>
    <w:rsid w:val="00857C01"/>
    <w:rsid w:val="00857E89"/>
    <w:rsid w:val="0086009C"/>
    <w:rsid w:val="00860198"/>
    <w:rsid w:val="008603AB"/>
    <w:rsid w:val="008603D6"/>
    <w:rsid w:val="008605A1"/>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78B"/>
    <w:rsid w:val="00866B1C"/>
    <w:rsid w:val="0086706C"/>
    <w:rsid w:val="0086733C"/>
    <w:rsid w:val="00867649"/>
    <w:rsid w:val="0086791E"/>
    <w:rsid w:val="008679F6"/>
    <w:rsid w:val="00870021"/>
    <w:rsid w:val="0087038C"/>
    <w:rsid w:val="0087042A"/>
    <w:rsid w:val="0087061D"/>
    <w:rsid w:val="00870907"/>
    <w:rsid w:val="00870A4B"/>
    <w:rsid w:val="00870B88"/>
    <w:rsid w:val="00870C83"/>
    <w:rsid w:val="008710B2"/>
    <w:rsid w:val="0087121A"/>
    <w:rsid w:val="00871624"/>
    <w:rsid w:val="0087179E"/>
    <w:rsid w:val="00871B4E"/>
    <w:rsid w:val="00871C2F"/>
    <w:rsid w:val="00871DAC"/>
    <w:rsid w:val="00871F68"/>
    <w:rsid w:val="008720D5"/>
    <w:rsid w:val="00872A2E"/>
    <w:rsid w:val="00872A7A"/>
    <w:rsid w:val="00872C7B"/>
    <w:rsid w:val="00872E24"/>
    <w:rsid w:val="00872EBF"/>
    <w:rsid w:val="00873018"/>
    <w:rsid w:val="0087313C"/>
    <w:rsid w:val="00873206"/>
    <w:rsid w:val="0087373F"/>
    <w:rsid w:val="00873894"/>
    <w:rsid w:val="008738F6"/>
    <w:rsid w:val="00873A88"/>
    <w:rsid w:val="00873CD2"/>
    <w:rsid w:val="00873D51"/>
    <w:rsid w:val="00873F2A"/>
    <w:rsid w:val="0087410C"/>
    <w:rsid w:val="008744BF"/>
    <w:rsid w:val="00874652"/>
    <w:rsid w:val="008747C3"/>
    <w:rsid w:val="008748BC"/>
    <w:rsid w:val="00874A25"/>
    <w:rsid w:val="00874FFA"/>
    <w:rsid w:val="00875227"/>
    <w:rsid w:val="008752CA"/>
    <w:rsid w:val="008755F0"/>
    <w:rsid w:val="008757B7"/>
    <w:rsid w:val="008757E4"/>
    <w:rsid w:val="00875853"/>
    <w:rsid w:val="00875A0E"/>
    <w:rsid w:val="00875B15"/>
    <w:rsid w:val="00875D48"/>
    <w:rsid w:val="00875D5C"/>
    <w:rsid w:val="00875E51"/>
    <w:rsid w:val="008762B6"/>
    <w:rsid w:val="00876494"/>
    <w:rsid w:val="0087650A"/>
    <w:rsid w:val="008765B9"/>
    <w:rsid w:val="00876B57"/>
    <w:rsid w:val="00876B58"/>
    <w:rsid w:val="00876DEA"/>
    <w:rsid w:val="0087710B"/>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D34"/>
    <w:rsid w:val="008910A7"/>
    <w:rsid w:val="0089150A"/>
    <w:rsid w:val="00891609"/>
    <w:rsid w:val="0089193E"/>
    <w:rsid w:val="00891CB5"/>
    <w:rsid w:val="00891FE9"/>
    <w:rsid w:val="008921CE"/>
    <w:rsid w:val="00892309"/>
    <w:rsid w:val="00892559"/>
    <w:rsid w:val="008926B0"/>
    <w:rsid w:val="00892C66"/>
    <w:rsid w:val="0089330B"/>
    <w:rsid w:val="00893505"/>
    <w:rsid w:val="0089354C"/>
    <w:rsid w:val="00893710"/>
    <w:rsid w:val="00893750"/>
    <w:rsid w:val="00893869"/>
    <w:rsid w:val="008938CF"/>
    <w:rsid w:val="00893B61"/>
    <w:rsid w:val="00893CF2"/>
    <w:rsid w:val="00893D16"/>
    <w:rsid w:val="00894128"/>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835"/>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B0175"/>
    <w:rsid w:val="008B01F2"/>
    <w:rsid w:val="008B03D4"/>
    <w:rsid w:val="008B056E"/>
    <w:rsid w:val="008B0638"/>
    <w:rsid w:val="008B06D0"/>
    <w:rsid w:val="008B0802"/>
    <w:rsid w:val="008B098B"/>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759"/>
    <w:rsid w:val="008B79C0"/>
    <w:rsid w:val="008B7F5C"/>
    <w:rsid w:val="008C01A3"/>
    <w:rsid w:val="008C01D6"/>
    <w:rsid w:val="008C036B"/>
    <w:rsid w:val="008C0644"/>
    <w:rsid w:val="008C072F"/>
    <w:rsid w:val="008C092B"/>
    <w:rsid w:val="008C0AD2"/>
    <w:rsid w:val="008C0AFF"/>
    <w:rsid w:val="008C0C8A"/>
    <w:rsid w:val="008C0DDC"/>
    <w:rsid w:val="008C1023"/>
    <w:rsid w:val="008C1036"/>
    <w:rsid w:val="008C105C"/>
    <w:rsid w:val="008C1441"/>
    <w:rsid w:val="008C1688"/>
    <w:rsid w:val="008C194C"/>
    <w:rsid w:val="008C1AD3"/>
    <w:rsid w:val="008C1D6E"/>
    <w:rsid w:val="008C1D75"/>
    <w:rsid w:val="008C1D99"/>
    <w:rsid w:val="008C272D"/>
    <w:rsid w:val="008C27B8"/>
    <w:rsid w:val="008C2D6C"/>
    <w:rsid w:val="008C2F73"/>
    <w:rsid w:val="008C31F2"/>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65C"/>
    <w:rsid w:val="008C7A00"/>
    <w:rsid w:val="008C7B4A"/>
    <w:rsid w:val="008C7F0F"/>
    <w:rsid w:val="008D0061"/>
    <w:rsid w:val="008D02CF"/>
    <w:rsid w:val="008D0617"/>
    <w:rsid w:val="008D07BF"/>
    <w:rsid w:val="008D08E5"/>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12D3"/>
    <w:rsid w:val="008E12E9"/>
    <w:rsid w:val="008E1460"/>
    <w:rsid w:val="008E1C78"/>
    <w:rsid w:val="008E2458"/>
    <w:rsid w:val="008E251D"/>
    <w:rsid w:val="008E27D2"/>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517B"/>
    <w:rsid w:val="008E5193"/>
    <w:rsid w:val="008E5262"/>
    <w:rsid w:val="008E53B3"/>
    <w:rsid w:val="008E54C1"/>
    <w:rsid w:val="008E5836"/>
    <w:rsid w:val="008E5AB9"/>
    <w:rsid w:val="008E5B23"/>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F9"/>
    <w:rsid w:val="008E7B07"/>
    <w:rsid w:val="008F046C"/>
    <w:rsid w:val="008F061C"/>
    <w:rsid w:val="008F0A9A"/>
    <w:rsid w:val="008F0B19"/>
    <w:rsid w:val="008F0C77"/>
    <w:rsid w:val="008F0CB9"/>
    <w:rsid w:val="008F0F5C"/>
    <w:rsid w:val="008F141A"/>
    <w:rsid w:val="008F17C8"/>
    <w:rsid w:val="008F1BC5"/>
    <w:rsid w:val="008F21F3"/>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B7C"/>
    <w:rsid w:val="008F4D8B"/>
    <w:rsid w:val="008F4E35"/>
    <w:rsid w:val="008F4E9A"/>
    <w:rsid w:val="008F4F1D"/>
    <w:rsid w:val="008F4F8D"/>
    <w:rsid w:val="008F53BD"/>
    <w:rsid w:val="008F53DA"/>
    <w:rsid w:val="008F55D3"/>
    <w:rsid w:val="008F56E6"/>
    <w:rsid w:val="008F5B4F"/>
    <w:rsid w:val="008F5C3F"/>
    <w:rsid w:val="008F627D"/>
    <w:rsid w:val="008F6461"/>
    <w:rsid w:val="008F6963"/>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7C"/>
    <w:rsid w:val="00901183"/>
    <w:rsid w:val="009017F8"/>
    <w:rsid w:val="0090198A"/>
    <w:rsid w:val="00901E51"/>
    <w:rsid w:val="00901EEE"/>
    <w:rsid w:val="00902046"/>
    <w:rsid w:val="009024F0"/>
    <w:rsid w:val="00902535"/>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4"/>
    <w:rsid w:val="00904E3E"/>
    <w:rsid w:val="00904E42"/>
    <w:rsid w:val="00904E84"/>
    <w:rsid w:val="00904E89"/>
    <w:rsid w:val="00905083"/>
    <w:rsid w:val="009050AE"/>
    <w:rsid w:val="0090521D"/>
    <w:rsid w:val="00905710"/>
    <w:rsid w:val="00905DA4"/>
    <w:rsid w:val="0090602D"/>
    <w:rsid w:val="0090644C"/>
    <w:rsid w:val="00906A69"/>
    <w:rsid w:val="00906B9B"/>
    <w:rsid w:val="00906D1A"/>
    <w:rsid w:val="00906D64"/>
    <w:rsid w:val="00907117"/>
    <w:rsid w:val="009072AC"/>
    <w:rsid w:val="009073C5"/>
    <w:rsid w:val="00907432"/>
    <w:rsid w:val="00907820"/>
    <w:rsid w:val="00907AF0"/>
    <w:rsid w:val="00907CC7"/>
    <w:rsid w:val="00907FFA"/>
    <w:rsid w:val="009100EA"/>
    <w:rsid w:val="009102ED"/>
    <w:rsid w:val="009104B0"/>
    <w:rsid w:val="00910553"/>
    <w:rsid w:val="00910912"/>
    <w:rsid w:val="00910A09"/>
    <w:rsid w:val="00910AD2"/>
    <w:rsid w:val="0091100C"/>
    <w:rsid w:val="009111E2"/>
    <w:rsid w:val="009112B6"/>
    <w:rsid w:val="00911306"/>
    <w:rsid w:val="00911466"/>
    <w:rsid w:val="0091151E"/>
    <w:rsid w:val="0091173C"/>
    <w:rsid w:val="009118E5"/>
    <w:rsid w:val="00911919"/>
    <w:rsid w:val="00911987"/>
    <w:rsid w:val="00911A8F"/>
    <w:rsid w:val="00911B3F"/>
    <w:rsid w:val="00911DB7"/>
    <w:rsid w:val="0091208E"/>
    <w:rsid w:val="00912427"/>
    <w:rsid w:val="009126FF"/>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6F"/>
    <w:rsid w:val="0091627E"/>
    <w:rsid w:val="0091646C"/>
    <w:rsid w:val="00916A45"/>
    <w:rsid w:val="00916D58"/>
    <w:rsid w:val="00916E10"/>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707"/>
    <w:rsid w:val="009269D6"/>
    <w:rsid w:val="00926A7B"/>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443"/>
    <w:rsid w:val="009326AF"/>
    <w:rsid w:val="0093285D"/>
    <w:rsid w:val="00932A5D"/>
    <w:rsid w:val="00932C6A"/>
    <w:rsid w:val="00932FF4"/>
    <w:rsid w:val="0093302B"/>
    <w:rsid w:val="00933C12"/>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F5E"/>
    <w:rsid w:val="00952155"/>
    <w:rsid w:val="009521A8"/>
    <w:rsid w:val="0095275F"/>
    <w:rsid w:val="0095298A"/>
    <w:rsid w:val="00952D39"/>
    <w:rsid w:val="00952E12"/>
    <w:rsid w:val="00953462"/>
    <w:rsid w:val="009539A0"/>
    <w:rsid w:val="009539F4"/>
    <w:rsid w:val="00953B75"/>
    <w:rsid w:val="00953CBD"/>
    <w:rsid w:val="00953D2B"/>
    <w:rsid w:val="00953E59"/>
    <w:rsid w:val="009545B1"/>
    <w:rsid w:val="0095474B"/>
    <w:rsid w:val="009547D3"/>
    <w:rsid w:val="00954900"/>
    <w:rsid w:val="00954A06"/>
    <w:rsid w:val="00954A3F"/>
    <w:rsid w:val="00954DF2"/>
    <w:rsid w:val="00954EE1"/>
    <w:rsid w:val="00954FD4"/>
    <w:rsid w:val="009550C6"/>
    <w:rsid w:val="00955105"/>
    <w:rsid w:val="00955962"/>
    <w:rsid w:val="00955D2C"/>
    <w:rsid w:val="00955DF6"/>
    <w:rsid w:val="00955E08"/>
    <w:rsid w:val="00956684"/>
    <w:rsid w:val="0095669F"/>
    <w:rsid w:val="00956894"/>
    <w:rsid w:val="009568F5"/>
    <w:rsid w:val="009569E4"/>
    <w:rsid w:val="009569F0"/>
    <w:rsid w:val="00956BB4"/>
    <w:rsid w:val="00956C0F"/>
    <w:rsid w:val="00956DB6"/>
    <w:rsid w:val="00956F19"/>
    <w:rsid w:val="0095706C"/>
    <w:rsid w:val="0095723E"/>
    <w:rsid w:val="00957579"/>
    <w:rsid w:val="009576DD"/>
    <w:rsid w:val="00957BF4"/>
    <w:rsid w:val="00957C5D"/>
    <w:rsid w:val="00960239"/>
    <w:rsid w:val="00960668"/>
    <w:rsid w:val="00960850"/>
    <w:rsid w:val="009609CE"/>
    <w:rsid w:val="00960AA3"/>
    <w:rsid w:val="00960B25"/>
    <w:rsid w:val="00960C35"/>
    <w:rsid w:val="00960C8A"/>
    <w:rsid w:val="00960CA0"/>
    <w:rsid w:val="00960FB6"/>
    <w:rsid w:val="00961015"/>
    <w:rsid w:val="00961488"/>
    <w:rsid w:val="009615BD"/>
    <w:rsid w:val="00961832"/>
    <w:rsid w:val="0096186C"/>
    <w:rsid w:val="009618BE"/>
    <w:rsid w:val="00961A22"/>
    <w:rsid w:val="00961B3A"/>
    <w:rsid w:val="00961B53"/>
    <w:rsid w:val="00962050"/>
    <w:rsid w:val="009620DA"/>
    <w:rsid w:val="00962221"/>
    <w:rsid w:val="009622B2"/>
    <w:rsid w:val="009623DB"/>
    <w:rsid w:val="00962C54"/>
    <w:rsid w:val="00962CD9"/>
    <w:rsid w:val="00963125"/>
    <w:rsid w:val="00963321"/>
    <w:rsid w:val="00963468"/>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AF"/>
    <w:rsid w:val="00984544"/>
    <w:rsid w:val="00984669"/>
    <w:rsid w:val="009848E1"/>
    <w:rsid w:val="00984ADD"/>
    <w:rsid w:val="00984BF4"/>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8D8"/>
    <w:rsid w:val="00986D11"/>
    <w:rsid w:val="00986FB5"/>
    <w:rsid w:val="00987B2C"/>
    <w:rsid w:val="00987F7B"/>
    <w:rsid w:val="00990018"/>
    <w:rsid w:val="00990191"/>
    <w:rsid w:val="00990397"/>
    <w:rsid w:val="009908C3"/>
    <w:rsid w:val="00990AA2"/>
    <w:rsid w:val="00991141"/>
    <w:rsid w:val="00991446"/>
    <w:rsid w:val="00991C8F"/>
    <w:rsid w:val="00991EFA"/>
    <w:rsid w:val="0099203E"/>
    <w:rsid w:val="009920CB"/>
    <w:rsid w:val="009920D8"/>
    <w:rsid w:val="009923C1"/>
    <w:rsid w:val="009924D6"/>
    <w:rsid w:val="00992599"/>
    <w:rsid w:val="00992673"/>
    <w:rsid w:val="00992907"/>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A17"/>
    <w:rsid w:val="00994E73"/>
    <w:rsid w:val="0099556C"/>
    <w:rsid w:val="00995637"/>
    <w:rsid w:val="0099564F"/>
    <w:rsid w:val="00995912"/>
    <w:rsid w:val="00995A25"/>
    <w:rsid w:val="00995EAE"/>
    <w:rsid w:val="009960E7"/>
    <w:rsid w:val="009962C4"/>
    <w:rsid w:val="009963D0"/>
    <w:rsid w:val="0099680B"/>
    <w:rsid w:val="00996827"/>
    <w:rsid w:val="0099694D"/>
    <w:rsid w:val="00996E80"/>
    <w:rsid w:val="00997029"/>
    <w:rsid w:val="009973C3"/>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96"/>
    <w:rsid w:val="009A08D6"/>
    <w:rsid w:val="009A0937"/>
    <w:rsid w:val="009A0991"/>
    <w:rsid w:val="009A0AD7"/>
    <w:rsid w:val="009A0CCA"/>
    <w:rsid w:val="009A13E1"/>
    <w:rsid w:val="009A13EC"/>
    <w:rsid w:val="009A164C"/>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FD8"/>
    <w:rsid w:val="009A7FEF"/>
    <w:rsid w:val="009B0065"/>
    <w:rsid w:val="009B01C9"/>
    <w:rsid w:val="009B03CA"/>
    <w:rsid w:val="009B0525"/>
    <w:rsid w:val="009B0560"/>
    <w:rsid w:val="009B0640"/>
    <w:rsid w:val="009B0741"/>
    <w:rsid w:val="009B0B0E"/>
    <w:rsid w:val="009B0F0F"/>
    <w:rsid w:val="009B123C"/>
    <w:rsid w:val="009B12C9"/>
    <w:rsid w:val="009B191C"/>
    <w:rsid w:val="009B1E7A"/>
    <w:rsid w:val="009B2802"/>
    <w:rsid w:val="009B29A7"/>
    <w:rsid w:val="009B2B0C"/>
    <w:rsid w:val="009B334C"/>
    <w:rsid w:val="009B3434"/>
    <w:rsid w:val="009B3447"/>
    <w:rsid w:val="009B347F"/>
    <w:rsid w:val="009B352E"/>
    <w:rsid w:val="009B3602"/>
    <w:rsid w:val="009B372A"/>
    <w:rsid w:val="009B3BFB"/>
    <w:rsid w:val="009B3E00"/>
    <w:rsid w:val="009B3E73"/>
    <w:rsid w:val="009B4013"/>
    <w:rsid w:val="009B40E2"/>
    <w:rsid w:val="009B4132"/>
    <w:rsid w:val="009B43F6"/>
    <w:rsid w:val="009B47D3"/>
    <w:rsid w:val="009B4C31"/>
    <w:rsid w:val="009B4C83"/>
    <w:rsid w:val="009B4D42"/>
    <w:rsid w:val="009B4E73"/>
    <w:rsid w:val="009B4EE7"/>
    <w:rsid w:val="009B517B"/>
    <w:rsid w:val="009B55D9"/>
    <w:rsid w:val="009B58BA"/>
    <w:rsid w:val="009B60E3"/>
    <w:rsid w:val="009B61BD"/>
    <w:rsid w:val="009B6804"/>
    <w:rsid w:val="009B68BE"/>
    <w:rsid w:val="009B693F"/>
    <w:rsid w:val="009B6B76"/>
    <w:rsid w:val="009B6F3E"/>
    <w:rsid w:val="009B6FD5"/>
    <w:rsid w:val="009B703A"/>
    <w:rsid w:val="009B7408"/>
    <w:rsid w:val="009B7677"/>
    <w:rsid w:val="009B773F"/>
    <w:rsid w:val="009B7756"/>
    <w:rsid w:val="009C0097"/>
    <w:rsid w:val="009C0155"/>
    <w:rsid w:val="009C08A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D7"/>
    <w:rsid w:val="009C4BF7"/>
    <w:rsid w:val="009C4C9E"/>
    <w:rsid w:val="009C4D19"/>
    <w:rsid w:val="009C4DBB"/>
    <w:rsid w:val="009C4E1C"/>
    <w:rsid w:val="009C4E80"/>
    <w:rsid w:val="009C4FAB"/>
    <w:rsid w:val="009C5119"/>
    <w:rsid w:val="009C5574"/>
    <w:rsid w:val="009C5577"/>
    <w:rsid w:val="009C5681"/>
    <w:rsid w:val="009C5A3A"/>
    <w:rsid w:val="009C5C1D"/>
    <w:rsid w:val="009C5C6D"/>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D00F3"/>
    <w:rsid w:val="009D02C7"/>
    <w:rsid w:val="009D0317"/>
    <w:rsid w:val="009D0457"/>
    <w:rsid w:val="009D0800"/>
    <w:rsid w:val="009D09AB"/>
    <w:rsid w:val="009D0D4F"/>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51C"/>
    <w:rsid w:val="009D3641"/>
    <w:rsid w:val="009D3AA0"/>
    <w:rsid w:val="009D3AFF"/>
    <w:rsid w:val="009D3D4C"/>
    <w:rsid w:val="009D3DC2"/>
    <w:rsid w:val="009D3E8F"/>
    <w:rsid w:val="009D41D8"/>
    <w:rsid w:val="009D421D"/>
    <w:rsid w:val="009D426A"/>
    <w:rsid w:val="009D4C32"/>
    <w:rsid w:val="009D4E2C"/>
    <w:rsid w:val="009D4E82"/>
    <w:rsid w:val="009D4EBB"/>
    <w:rsid w:val="009D511C"/>
    <w:rsid w:val="009D51DF"/>
    <w:rsid w:val="009D5249"/>
    <w:rsid w:val="009D53BD"/>
    <w:rsid w:val="009D57AA"/>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CD2"/>
    <w:rsid w:val="009E1D64"/>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BB"/>
    <w:rsid w:val="009E42CE"/>
    <w:rsid w:val="009E4411"/>
    <w:rsid w:val="009E488B"/>
    <w:rsid w:val="009E4E98"/>
    <w:rsid w:val="009E4FA1"/>
    <w:rsid w:val="009E53B4"/>
    <w:rsid w:val="009E549A"/>
    <w:rsid w:val="009E573A"/>
    <w:rsid w:val="009E57DC"/>
    <w:rsid w:val="009E5967"/>
    <w:rsid w:val="009E59C2"/>
    <w:rsid w:val="009E61D5"/>
    <w:rsid w:val="009E6586"/>
    <w:rsid w:val="009E660E"/>
    <w:rsid w:val="009E666A"/>
    <w:rsid w:val="009E669A"/>
    <w:rsid w:val="009E6976"/>
    <w:rsid w:val="009E6C07"/>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CCB"/>
    <w:rsid w:val="009F4D69"/>
    <w:rsid w:val="009F5499"/>
    <w:rsid w:val="009F57B3"/>
    <w:rsid w:val="009F57B5"/>
    <w:rsid w:val="009F5851"/>
    <w:rsid w:val="009F59DA"/>
    <w:rsid w:val="009F5AF6"/>
    <w:rsid w:val="009F5EDF"/>
    <w:rsid w:val="009F602A"/>
    <w:rsid w:val="009F6034"/>
    <w:rsid w:val="009F618D"/>
    <w:rsid w:val="009F6CA3"/>
    <w:rsid w:val="009F6DE6"/>
    <w:rsid w:val="009F6E69"/>
    <w:rsid w:val="009F70E4"/>
    <w:rsid w:val="009F72FC"/>
    <w:rsid w:val="009F733E"/>
    <w:rsid w:val="009F78CB"/>
    <w:rsid w:val="009F7B15"/>
    <w:rsid w:val="009F7D12"/>
    <w:rsid w:val="00A00964"/>
    <w:rsid w:val="00A00A86"/>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5F1"/>
    <w:rsid w:val="00A06744"/>
    <w:rsid w:val="00A06B25"/>
    <w:rsid w:val="00A06C12"/>
    <w:rsid w:val="00A070D2"/>
    <w:rsid w:val="00A07DF0"/>
    <w:rsid w:val="00A07E1F"/>
    <w:rsid w:val="00A07E92"/>
    <w:rsid w:val="00A07EAD"/>
    <w:rsid w:val="00A07FAC"/>
    <w:rsid w:val="00A10065"/>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D0E"/>
    <w:rsid w:val="00A20D33"/>
    <w:rsid w:val="00A20E4C"/>
    <w:rsid w:val="00A210FC"/>
    <w:rsid w:val="00A211CE"/>
    <w:rsid w:val="00A213B0"/>
    <w:rsid w:val="00A213B3"/>
    <w:rsid w:val="00A21532"/>
    <w:rsid w:val="00A2163A"/>
    <w:rsid w:val="00A2168E"/>
    <w:rsid w:val="00A2175A"/>
    <w:rsid w:val="00A217B3"/>
    <w:rsid w:val="00A21874"/>
    <w:rsid w:val="00A21A49"/>
    <w:rsid w:val="00A21D77"/>
    <w:rsid w:val="00A21EC0"/>
    <w:rsid w:val="00A21EF6"/>
    <w:rsid w:val="00A2202D"/>
    <w:rsid w:val="00A224EE"/>
    <w:rsid w:val="00A22827"/>
    <w:rsid w:val="00A22B60"/>
    <w:rsid w:val="00A22E76"/>
    <w:rsid w:val="00A22FE3"/>
    <w:rsid w:val="00A230D9"/>
    <w:rsid w:val="00A23540"/>
    <w:rsid w:val="00A235C5"/>
    <w:rsid w:val="00A236B3"/>
    <w:rsid w:val="00A23705"/>
    <w:rsid w:val="00A238DB"/>
    <w:rsid w:val="00A23A5C"/>
    <w:rsid w:val="00A23C36"/>
    <w:rsid w:val="00A23E87"/>
    <w:rsid w:val="00A242C8"/>
    <w:rsid w:val="00A24365"/>
    <w:rsid w:val="00A244DA"/>
    <w:rsid w:val="00A2453F"/>
    <w:rsid w:val="00A24670"/>
    <w:rsid w:val="00A24673"/>
    <w:rsid w:val="00A250BD"/>
    <w:rsid w:val="00A25207"/>
    <w:rsid w:val="00A25872"/>
    <w:rsid w:val="00A25CB0"/>
    <w:rsid w:val="00A25D23"/>
    <w:rsid w:val="00A25E3C"/>
    <w:rsid w:val="00A25E7E"/>
    <w:rsid w:val="00A25EFB"/>
    <w:rsid w:val="00A26068"/>
    <w:rsid w:val="00A26561"/>
    <w:rsid w:val="00A26609"/>
    <w:rsid w:val="00A266BB"/>
    <w:rsid w:val="00A2681E"/>
    <w:rsid w:val="00A26A5E"/>
    <w:rsid w:val="00A26A7B"/>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DC"/>
    <w:rsid w:val="00A31880"/>
    <w:rsid w:val="00A3193A"/>
    <w:rsid w:val="00A31C17"/>
    <w:rsid w:val="00A31C23"/>
    <w:rsid w:val="00A31E5C"/>
    <w:rsid w:val="00A323A5"/>
    <w:rsid w:val="00A3280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D0A"/>
    <w:rsid w:val="00A43D8C"/>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8B2"/>
    <w:rsid w:val="00A51A31"/>
    <w:rsid w:val="00A51C37"/>
    <w:rsid w:val="00A51C81"/>
    <w:rsid w:val="00A51F92"/>
    <w:rsid w:val="00A52115"/>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FD3"/>
    <w:rsid w:val="00A55305"/>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A62"/>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D50"/>
    <w:rsid w:val="00A64E5B"/>
    <w:rsid w:val="00A6513B"/>
    <w:rsid w:val="00A65184"/>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448"/>
    <w:rsid w:val="00A676FE"/>
    <w:rsid w:val="00A679BC"/>
    <w:rsid w:val="00A67C87"/>
    <w:rsid w:val="00A67F64"/>
    <w:rsid w:val="00A700A9"/>
    <w:rsid w:val="00A7019F"/>
    <w:rsid w:val="00A70233"/>
    <w:rsid w:val="00A7055A"/>
    <w:rsid w:val="00A70632"/>
    <w:rsid w:val="00A7092F"/>
    <w:rsid w:val="00A7098E"/>
    <w:rsid w:val="00A70A25"/>
    <w:rsid w:val="00A70B3F"/>
    <w:rsid w:val="00A716F5"/>
    <w:rsid w:val="00A7178D"/>
    <w:rsid w:val="00A717E5"/>
    <w:rsid w:val="00A718A6"/>
    <w:rsid w:val="00A71D36"/>
    <w:rsid w:val="00A71E6F"/>
    <w:rsid w:val="00A72484"/>
    <w:rsid w:val="00A724E8"/>
    <w:rsid w:val="00A725AB"/>
    <w:rsid w:val="00A72756"/>
    <w:rsid w:val="00A72C5B"/>
    <w:rsid w:val="00A72D19"/>
    <w:rsid w:val="00A730F7"/>
    <w:rsid w:val="00A73252"/>
    <w:rsid w:val="00A736B3"/>
    <w:rsid w:val="00A736E7"/>
    <w:rsid w:val="00A7379C"/>
    <w:rsid w:val="00A737FF"/>
    <w:rsid w:val="00A73AF5"/>
    <w:rsid w:val="00A73B58"/>
    <w:rsid w:val="00A73E2E"/>
    <w:rsid w:val="00A74521"/>
    <w:rsid w:val="00A7452B"/>
    <w:rsid w:val="00A74675"/>
    <w:rsid w:val="00A747D9"/>
    <w:rsid w:val="00A74976"/>
    <w:rsid w:val="00A74A1C"/>
    <w:rsid w:val="00A74ADF"/>
    <w:rsid w:val="00A74CC8"/>
    <w:rsid w:val="00A74E44"/>
    <w:rsid w:val="00A74F83"/>
    <w:rsid w:val="00A74FA8"/>
    <w:rsid w:val="00A753BB"/>
    <w:rsid w:val="00A755BE"/>
    <w:rsid w:val="00A759B1"/>
    <w:rsid w:val="00A75B87"/>
    <w:rsid w:val="00A75C4A"/>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9B7"/>
    <w:rsid w:val="00A819BF"/>
    <w:rsid w:val="00A81C3C"/>
    <w:rsid w:val="00A82078"/>
    <w:rsid w:val="00A82126"/>
    <w:rsid w:val="00A824B3"/>
    <w:rsid w:val="00A82633"/>
    <w:rsid w:val="00A82688"/>
    <w:rsid w:val="00A82695"/>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70F"/>
    <w:rsid w:val="00A84BB8"/>
    <w:rsid w:val="00A84C4F"/>
    <w:rsid w:val="00A84C9F"/>
    <w:rsid w:val="00A85078"/>
    <w:rsid w:val="00A850B7"/>
    <w:rsid w:val="00A85211"/>
    <w:rsid w:val="00A85B6E"/>
    <w:rsid w:val="00A85D60"/>
    <w:rsid w:val="00A85EB1"/>
    <w:rsid w:val="00A86097"/>
    <w:rsid w:val="00A860CC"/>
    <w:rsid w:val="00A86358"/>
    <w:rsid w:val="00A86404"/>
    <w:rsid w:val="00A8654E"/>
    <w:rsid w:val="00A866A0"/>
    <w:rsid w:val="00A86D09"/>
    <w:rsid w:val="00A86F2B"/>
    <w:rsid w:val="00A871DB"/>
    <w:rsid w:val="00A874E7"/>
    <w:rsid w:val="00A877B5"/>
    <w:rsid w:val="00A8796F"/>
    <w:rsid w:val="00A87A27"/>
    <w:rsid w:val="00A87C40"/>
    <w:rsid w:val="00A903F3"/>
    <w:rsid w:val="00A9044D"/>
    <w:rsid w:val="00A9058F"/>
    <w:rsid w:val="00A905C5"/>
    <w:rsid w:val="00A908A2"/>
    <w:rsid w:val="00A90DA3"/>
    <w:rsid w:val="00A90FEA"/>
    <w:rsid w:val="00A91063"/>
    <w:rsid w:val="00A91111"/>
    <w:rsid w:val="00A91322"/>
    <w:rsid w:val="00A91324"/>
    <w:rsid w:val="00A914FD"/>
    <w:rsid w:val="00A915F3"/>
    <w:rsid w:val="00A9167D"/>
    <w:rsid w:val="00A9195D"/>
    <w:rsid w:val="00A91BB0"/>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6A9"/>
    <w:rsid w:val="00A93E26"/>
    <w:rsid w:val="00A93E91"/>
    <w:rsid w:val="00A94048"/>
    <w:rsid w:val="00A940E5"/>
    <w:rsid w:val="00A943E8"/>
    <w:rsid w:val="00A9441F"/>
    <w:rsid w:val="00A9460D"/>
    <w:rsid w:val="00A94742"/>
    <w:rsid w:val="00A94AEA"/>
    <w:rsid w:val="00A94D2B"/>
    <w:rsid w:val="00A94D34"/>
    <w:rsid w:val="00A95110"/>
    <w:rsid w:val="00A953EA"/>
    <w:rsid w:val="00A955EB"/>
    <w:rsid w:val="00A956C3"/>
    <w:rsid w:val="00A95725"/>
    <w:rsid w:val="00A95815"/>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458"/>
    <w:rsid w:val="00AA2523"/>
    <w:rsid w:val="00AA25A0"/>
    <w:rsid w:val="00AA27F4"/>
    <w:rsid w:val="00AA2AF1"/>
    <w:rsid w:val="00AA2C29"/>
    <w:rsid w:val="00AA3152"/>
    <w:rsid w:val="00AA3169"/>
    <w:rsid w:val="00AA3568"/>
    <w:rsid w:val="00AA35CA"/>
    <w:rsid w:val="00AA36FA"/>
    <w:rsid w:val="00AA389C"/>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C7"/>
    <w:rsid w:val="00AA61D4"/>
    <w:rsid w:val="00AA64D9"/>
    <w:rsid w:val="00AA6599"/>
    <w:rsid w:val="00AA65D7"/>
    <w:rsid w:val="00AA717E"/>
    <w:rsid w:val="00AA73FB"/>
    <w:rsid w:val="00AA743F"/>
    <w:rsid w:val="00AA7663"/>
    <w:rsid w:val="00AA78CA"/>
    <w:rsid w:val="00AA798D"/>
    <w:rsid w:val="00AA79E1"/>
    <w:rsid w:val="00AA7BE3"/>
    <w:rsid w:val="00AA7F46"/>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58F"/>
    <w:rsid w:val="00AC398E"/>
    <w:rsid w:val="00AC3AF5"/>
    <w:rsid w:val="00AC3C10"/>
    <w:rsid w:val="00AC3C1D"/>
    <w:rsid w:val="00AC3CD5"/>
    <w:rsid w:val="00AC3E2C"/>
    <w:rsid w:val="00AC4234"/>
    <w:rsid w:val="00AC4658"/>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A05"/>
    <w:rsid w:val="00AC6D10"/>
    <w:rsid w:val="00AC6F0D"/>
    <w:rsid w:val="00AC6F21"/>
    <w:rsid w:val="00AC70BD"/>
    <w:rsid w:val="00AC714F"/>
    <w:rsid w:val="00AC73B7"/>
    <w:rsid w:val="00AC7CEF"/>
    <w:rsid w:val="00AC7D30"/>
    <w:rsid w:val="00AC7EFD"/>
    <w:rsid w:val="00AC7FB8"/>
    <w:rsid w:val="00AD001A"/>
    <w:rsid w:val="00AD03D4"/>
    <w:rsid w:val="00AD0505"/>
    <w:rsid w:val="00AD0523"/>
    <w:rsid w:val="00AD093A"/>
    <w:rsid w:val="00AD09C8"/>
    <w:rsid w:val="00AD0BA2"/>
    <w:rsid w:val="00AD1352"/>
    <w:rsid w:val="00AD1554"/>
    <w:rsid w:val="00AD15FB"/>
    <w:rsid w:val="00AD1625"/>
    <w:rsid w:val="00AD1627"/>
    <w:rsid w:val="00AD17BA"/>
    <w:rsid w:val="00AD19F1"/>
    <w:rsid w:val="00AD1A52"/>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D9"/>
    <w:rsid w:val="00AE0B6D"/>
    <w:rsid w:val="00AE0B98"/>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9F6"/>
    <w:rsid w:val="00AE7A45"/>
    <w:rsid w:val="00AE7B2C"/>
    <w:rsid w:val="00AE7C50"/>
    <w:rsid w:val="00AE7C6F"/>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A1C"/>
    <w:rsid w:val="00AF2D12"/>
    <w:rsid w:val="00AF2F6F"/>
    <w:rsid w:val="00AF312E"/>
    <w:rsid w:val="00AF39A1"/>
    <w:rsid w:val="00AF3AF8"/>
    <w:rsid w:val="00AF3B35"/>
    <w:rsid w:val="00AF41C9"/>
    <w:rsid w:val="00AF426F"/>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E7A"/>
    <w:rsid w:val="00B0039B"/>
    <w:rsid w:val="00B007FB"/>
    <w:rsid w:val="00B00B53"/>
    <w:rsid w:val="00B00E47"/>
    <w:rsid w:val="00B00E98"/>
    <w:rsid w:val="00B01232"/>
    <w:rsid w:val="00B013AB"/>
    <w:rsid w:val="00B013AF"/>
    <w:rsid w:val="00B017AB"/>
    <w:rsid w:val="00B01800"/>
    <w:rsid w:val="00B01BB3"/>
    <w:rsid w:val="00B01E76"/>
    <w:rsid w:val="00B01EEA"/>
    <w:rsid w:val="00B01F6F"/>
    <w:rsid w:val="00B021AD"/>
    <w:rsid w:val="00B02217"/>
    <w:rsid w:val="00B0231C"/>
    <w:rsid w:val="00B024C4"/>
    <w:rsid w:val="00B02980"/>
    <w:rsid w:val="00B029E9"/>
    <w:rsid w:val="00B02A70"/>
    <w:rsid w:val="00B02B22"/>
    <w:rsid w:val="00B02F12"/>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950"/>
    <w:rsid w:val="00B14B35"/>
    <w:rsid w:val="00B14EEA"/>
    <w:rsid w:val="00B15018"/>
    <w:rsid w:val="00B1508D"/>
    <w:rsid w:val="00B15297"/>
    <w:rsid w:val="00B154FF"/>
    <w:rsid w:val="00B1565C"/>
    <w:rsid w:val="00B157B8"/>
    <w:rsid w:val="00B15903"/>
    <w:rsid w:val="00B15C80"/>
    <w:rsid w:val="00B15DD1"/>
    <w:rsid w:val="00B15FE6"/>
    <w:rsid w:val="00B16470"/>
    <w:rsid w:val="00B16485"/>
    <w:rsid w:val="00B164B1"/>
    <w:rsid w:val="00B16955"/>
    <w:rsid w:val="00B16BB4"/>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54C"/>
    <w:rsid w:val="00B215F1"/>
    <w:rsid w:val="00B2164F"/>
    <w:rsid w:val="00B217C5"/>
    <w:rsid w:val="00B218AC"/>
    <w:rsid w:val="00B21A33"/>
    <w:rsid w:val="00B21AD0"/>
    <w:rsid w:val="00B21ADB"/>
    <w:rsid w:val="00B21BDD"/>
    <w:rsid w:val="00B22169"/>
    <w:rsid w:val="00B22662"/>
    <w:rsid w:val="00B22756"/>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563D"/>
    <w:rsid w:val="00B25A4D"/>
    <w:rsid w:val="00B25E19"/>
    <w:rsid w:val="00B2635D"/>
    <w:rsid w:val="00B26381"/>
    <w:rsid w:val="00B264DC"/>
    <w:rsid w:val="00B26A09"/>
    <w:rsid w:val="00B271E8"/>
    <w:rsid w:val="00B27306"/>
    <w:rsid w:val="00B274D6"/>
    <w:rsid w:val="00B275D6"/>
    <w:rsid w:val="00B27608"/>
    <w:rsid w:val="00B27C04"/>
    <w:rsid w:val="00B27D11"/>
    <w:rsid w:val="00B300D0"/>
    <w:rsid w:val="00B30217"/>
    <w:rsid w:val="00B302F6"/>
    <w:rsid w:val="00B30640"/>
    <w:rsid w:val="00B30C30"/>
    <w:rsid w:val="00B30E1E"/>
    <w:rsid w:val="00B30F67"/>
    <w:rsid w:val="00B310A8"/>
    <w:rsid w:val="00B3144D"/>
    <w:rsid w:val="00B3163C"/>
    <w:rsid w:val="00B3168E"/>
    <w:rsid w:val="00B317FB"/>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6B4"/>
    <w:rsid w:val="00B3689E"/>
    <w:rsid w:val="00B36B21"/>
    <w:rsid w:val="00B36B74"/>
    <w:rsid w:val="00B370CA"/>
    <w:rsid w:val="00B371A2"/>
    <w:rsid w:val="00B372C8"/>
    <w:rsid w:val="00B37695"/>
    <w:rsid w:val="00B377E8"/>
    <w:rsid w:val="00B377EF"/>
    <w:rsid w:val="00B379B6"/>
    <w:rsid w:val="00B37A7F"/>
    <w:rsid w:val="00B37A91"/>
    <w:rsid w:val="00B37AC2"/>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2190"/>
    <w:rsid w:val="00B42394"/>
    <w:rsid w:val="00B4254B"/>
    <w:rsid w:val="00B42581"/>
    <w:rsid w:val="00B42900"/>
    <w:rsid w:val="00B42AA2"/>
    <w:rsid w:val="00B42B08"/>
    <w:rsid w:val="00B42BB0"/>
    <w:rsid w:val="00B42D53"/>
    <w:rsid w:val="00B42DA5"/>
    <w:rsid w:val="00B431DA"/>
    <w:rsid w:val="00B4346A"/>
    <w:rsid w:val="00B43889"/>
    <w:rsid w:val="00B4389A"/>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B20"/>
    <w:rsid w:val="00B55BBD"/>
    <w:rsid w:val="00B55BE0"/>
    <w:rsid w:val="00B55D3C"/>
    <w:rsid w:val="00B55E56"/>
    <w:rsid w:val="00B56436"/>
    <w:rsid w:val="00B56885"/>
    <w:rsid w:val="00B568B7"/>
    <w:rsid w:val="00B56A36"/>
    <w:rsid w:val="00B56A59"/>
    <w:rsid w:val="00B56CAF"/>
    <w:rsid w:val="00B56F90"/>
    <w:rsid w:val="00B57243"/>
    <w:rsid w:val="00B57295"/>
    <w:rsid w:val="00B574C7"/>
    <w:rsid w:val="00B57995"/>
    <w:rsid w:val="00B579C5"/>
    <w:rsid w:val="00B57D43"/>
    <w:rsid w:val="00B600DA"/>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E1D"/>
    <w:rsid w:val="00B62F3A"/>
    <w:rsid w:val="00B63305"/>
    <w:rsid w:val="00B634CA"/>
    <w:rsid w:val="00B63684"/>
    <w:rsid w:val="00B638EB"/>
    <w:rsid w:val="00B639CE"/>
    <w:rsid w:val="00B63CAD"/>
    <w:rsid w:val="00B63D21"/>
    <w:rsid w:val="00B63D84"/>
    <w:rsid w:val="00B63E98"/>
    <w:rsid w:val="00B63FEA"/>
    <w:rsid w:val="00B642E2"/>
    <w:rsid w:val="00B64331"/>
    <w:rsid w:val="00B6437B"/>
    <w:rsid w:val="00B64623"/>
    <w:rsid w:val="00B6499D"/>
    <w:rsid w:val="00B64A2A"/>
    <w:rsid w:val="00B64AD9"/>
    <w:rsid w:val="00B64BAE"/>
    <w:rsid w:val="00B64FA0"/>
    <w:rsid w:val="00B650F3"/>
    <w:rsid w:val="00B656E6"/>
    <w:rsid w:val="00B6571C"/>
    <w:rsid w:val="00B657A4"/>
    <w:rsid w:val="00B6592D"/>
    <w:rsid w:val="00B65A5E"/>
    <w:rsid w:val="00B668CB"/>
    <w:rsid w:val="00B66AF7"/>
    <w:rsid w:val="00B66C24"/>
    <w:rsid w:val="00B66FED"/>
    <w:rsid w:val="00B67067"/>
    <w:rsid w:val="00B67142"/>
    <w:rsid w:val="00B6752B"/>
    <w:rsid w:val="00B675E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56E"/>
    <w:rsid w:val="00B72AF4"/>
    <w:rsid w:val="00B732BE"/>
    <w:rsid w:val="00B73784"/>
    <w:rsid w:val="00B73D0D"/>
    <w:rsid w:val="00B73DC1"/>
    <w:rsid w:val="00B73F99"/>
    <w:rsid w:val="00B73FF6"/>
    <w:rsid w:val="00B74EF6"/>
    <w:rsid w:val="00B752CE"/>
    <w:rsid w:val="00B75561"/>
    <w:rsid w:val="00B757DD"/>
    <w:rsid w:val="00B7585D"/>
    <w:rsid w:val="00B75887"/>
    <w:rsid w:val="00B75BD2"/>
    <w:rsid w:val="00B75E99"/>
    <w:rsid w:val="00B76003"/>
    <w:rsid w:val="00B76121"/>
    <w:rsid w:val="00B76138"/>
    <w:rsid w:val="00B763BA"/>
    <w:rsid w:val="00B7644D"/>
    <w:rsid w:val="00B765CE"/>
    <w:rsid w:val="00B765F4"/>
    <w:rsid w:val="00B7668D"/>
    <w:rsid w:val="00B7678C"/>
    <w:rsid w:val="00B76C72"/>
    <w:rsid w:val="00B76D92"/>
    <w:rsid w:val="00B76F6A"/>
    <w:rsid w:val="00B77097"/>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D6C"/>
    <w:rsid w:val="00B85366"/>
    <w:rsid w:val="00B85549"/>
    <w:rsid w:val="00B8566D"/>
    <w:rsid w:val="00B8597B"/>
    <w:rsid w:val="00B85EDF"/>
    <w:rsid w:val="00B861C1"/>
    <w:rsid w:val="00B8633F"/>
    <w:rsid w:val="00B864A1"/>
    <w:rsid w:val="00B8696F"/>
    <w:rsid w:val="00B869FB"/>
    <w:rsid w:val="00B86AF7"/>
    <w:rsid w:val="00B86CF7"/>
    <w:rsid w:val="00B87075"/>
    <w:rsid w:val="00B8709A"/>
    <w:rsid w:val="00B871DA"/>
    <w:rsid w:val="00B8732E"/>
    <w:rsid w:val="00B8733B"/>
    <w:rsid w:val="00B874C7"/>
    <w:rsid w:val="00B87C3F"/>
    <w:rsid w:val="00B90384"/>
    <w:rsid w:val="00B90787"/>
    <w:rsid w:val="00B90AB2"/>
    <w:rsid w:val="00B90DF1"/>
    <w:rsid w:val="00B91005"/>
    <w:rsid w:val="00B9165D"/>
    <w:rsid w:val="00B9178B"/>
    <w:rsid w:val="00B918AA"/>
    <w:rsid w:val="00B918BD"/>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988"/>
    <w:rsid w:val="00B97AC3"/>
    <w:rsid w:val="00B97FD1"/>
    <w:rsid w:val="00BA006E"/>
    <w:rsid w:val="00BA03CB"/>
    <w:rsid w:val="00BA055F"/>
    <w:rsid w:val="00BA09FC"/>
    <w:rsid w:val="00BA0AA8"/>
    <w:rsid w:val="00BA0C2C"/>
    <w:rsid w:val="00BA0E16"/>
    <w:rsid w:val="00BA0F7D"/>
    <w:rsid w:val="00BA11C4"/>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A9"/>
    <w:rsid w:val="00BA60D0"/>
    <w:rsid w:val="00BA6331"/>
    <w:rsid w:val="00BA6530"/>
    <w:rsid w:val="00BA6723"/>
    <w:rsid w:val="00BA695B"/>
    <w:rsid w:val="00BA6BE8"/>
    <w:rsid w:val="00BA70EB"/>
    <w:rsid w:val="00BA71B9"/>
    <w:rsid w:val="00BA7765"/>
    <w:rsid w:val="00BA7772"/>
    <w:rsid w:val="00BA78AF"/>
    <w:rsid w:val="00BA7D7C"/>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EBF"/>
    <w:rsid w:val="00BB356D"/>
    <w:rsid w:val="00BB38CA"/>
    <w:rsid w:val="00BB434C"/>
    <w:rsid w:val="00BB485B"/>
    <w:rsid w:val="00BB49E7"/>
    <w:rsid w:val="00BB4A8F"/>
    <w:rsid w:val="00BB4B40"/>
    <w:rsid w:val="00BB4D70"/>
    <w:rsid w:val="00BB4D8D"/>
    <w:rsid w:val="00BB4E47"/>
    <w:rsid w:val="00BB4EBA"/>
    <w:rsid w:val="00BB500C"/>
    <w:rsid w:val="00BB51A5"/>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F6F"/>
    <w:rsid w:val="00BC0F7B"/>
    <w:rsid w:val="00BC1040"/>
    <w:rsid w:val="00BC14DA"/>
    <w:rsid w:val="00BC1694"/>
    <w:rsid w:val="00BC1747"/>
    <w:rsid w:val="00BC1854"/>
    <w:rsid w:val="00BC19F3"/>
    <w:rsid w:val="00BC1A32"/>
    <w:rsid w:val="00BC1B10"/>
    <w:rsid w:val="00BC1C4B"/>
    <w:rsid w:val="00BC1F10"/>
    <w:rsid w:val="00BC2265"/>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DE4"/>
    <w:rsid w:val="00BC4E22"/>
    <w:rsid w:val="00BC50E4"/>
    <w:rsid w:val="00BC5192"/>
    <w:rsid w:val="00BC5673"/>
    <w:rsid w:val="00BC5BA6"/>
    <w:rsid w:val="00BC5DBD"/>
    <w:rsid w:val="00BC5EE6"/>
    <w:rsid w:val="00BC601C"/>
    <w:rsid w:val="00BC60B0"/>
    <w:rsid w:val="00BC60E7"/>
    <w:rsid w:val="00BC653D"/>
    <w:rsid w:val="00BC65B6"/>
    <w:rsid w:val="00BC65BB"/>
    <w:rsid w:val="00BC6C9D"/>
    <w:rsid w:val="00BC7026"/>
    <w:rsid w:val="00BC70B7"/>
    <w:rsid w:val="00BC7177"/>
    <w:rsid w:val="00BC766C"/>
    <w:rsid w:val="00BC791F"/>
    <w:rsid w:val="00BC7A3C"/>
    <w:rsid w:val="00BC7A99"/>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E17"/>
    <w:rsid w:val="00BD3FCB"/>
    <w:rsid w:val="00BD4003"/>
    <w:rsid w:val="00BD493E"/>
    <w:rsid w:val="00BD4BF4"/>
    <w:rsid w:val="00BD4E0B"/>
    <w:rsid w:val="00BD51D6"/>
    <w:rsid w:val="00BD5232"/>
    <w:rsid w:val="00BD542A"/>
    <w:rsid w:val="00BD570E"/>
    <w:rsid w:val="00BD5F20"/>
    <w:rsid w:val="00BD60B8"/>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92D"/>
    <w:rsid w:val="00BE2C23"/>
    <w:rsid w:val="00BE2D66"/>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FE9"/>
    <w:rsid w:val="00BE501D"/>
    <w:rsid w:val="00BE5506"/>
    <w:rsid w:val="00BE56DC"/>
    <w:rsid w:val="00BE59B8"/>
    <w:rsid w:val="00BE5A12"/>
    <w:rsid w:val="00BE5B9F"/>
    <w:rsid w:val="00BE5DC5"/>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7"/>
    <w:rsid w:val="00C0092F"/>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112"/>
    <w:rsid w:val="00C04271"/>
    <w:rsid w:val="00C044DF"/>
    <w:rsid w:val="00C04721"/>
    <w:rsid w:val="00C048EC"/>
    <w:rsid w:val="00C0493C"/>
    <w:rsid w:val="00C04A82"/>
    <w:rsid w:val="00C04D46"/>
    <w:rsid w:val="00C04D9F"/>
    <w:rsid w:val="00C04FF0"/>
    <w:rsid w:val="00C05255"/>
    <w:rsid w:val="00C052DB"/>
    <w:rsid w:val="00C052F5"/>
    <w:rsid w:val="00C0569B"/>
    <w:rsid w:val="00C056A0"/>
    <w:rsid w:val="00C056CF"/>
    <w:rsid w:val="00C0580B"/>
    <w:rsid w:val="00C059EE"/>
    <w:rsid w:val="00C05C68"/>
    <w:rsid w:val="00C05E4E"/>
    <w:rsid w:val="00C05FB5"/>
    <w:rsid w:val="00C06009"/>
    <w:rsid w:val="00C06123"/>
    <w:rsid w:val="00C0657C"/>
    <w:rsid w:val="00C066F4"/>
    <w:rsid w:val="00C06887"/>
    <w:rsid w:val="00C06A0E"/>
    <w:rsid w:val="00C06DAF"/>
    <w:rsid w:val="00C07CCC"/>
    <w:rsid w:val="00C07D4C"/>
    <w:rsid w:val="00C07FA7"/>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232B"/>
    <w:rsid w:val="00C125DE"/>
    <w:rsid w:val="00C12852"/>
    <w:rsid w:val="00C12B08"/>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E9F"/>
    <w:rsid w:val="00C15044"/>
    <w:rsid w:val="00C15360"/>
    <w:rsid w:val="00C153D2"/>
    <w:rsid w:val="00C15515"/>
    <w:rsid w:val="00C156E9"/>
    <w:rsid w:val="00C158D5"/>
    <w:rsid w:val="00C15B1F"/>
    <w:rsid w:val="00C15D9B"/>
    <w:rsid w:val="00C15DAF"/>
    <w:rsid w:val="00C16428"/>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AEA"/>
    <w:rsid w:val="00C26BDE"/>
    <w:rsid w:val="00C26C87"/>
    <w:rsid w:val="00C274B5"/>
    <w:rsid w:val="00C276C7"/>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514"/>
    <w:rsid w:val="00C3154B"/>
    <w:rsid w:val="00C31587"/>
    <w:rsid w:val="00C31645"/>
    <w:rsid w:val="00C319F0"/>
    <w:rsid w:val="00C31A90"/>
    <w:rsid w:val="00C31C7B"/>
    <w:rsid w:val="00C32253"/>
    <w:rsid w:val="00C32413"/>
    <w:rsid w:val="00C32438"/>
    <w:rsid w:val="00C32568"/>
    <w:rsid w:val="00C329E2"/>
    <w:rsid w:val="00C32A97"/>
    <w:rsid w:val="00C32C60"/>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3D7"/>
    <w:rsid w:val="00C37490"/>
    <w:rsid w:val="00C37554"/>
    <w:rsid w:val="00C37785"/>
    <w:rsid w:val="00C37B4D"/>
    <w:rsid w:val="00C400E9"/>
    <w:rsid w:val="00C402DC"/>
    <w:rsid w:val="00C404AF"/>
    <w:rsid w:val="00C40575"/>
    <w:rsid w:val="00C40991"/>
    <w:rsid w:val="00C40BBC"/>
    <w:rsid w:val="00C41360"/>
    <w:rsid w:val="00C41740"/>
    <w:rsid w:val="00C41DCF"/>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FC"/>
    <w:rsid w:val="00C466D3"/>
    <w:rsid w:val="00C46726"/>
    <w:rsid w:val="00C467F3"/>
    <w:rsid w:val="00C46B77"/>
    <w:rsid w:val="00C46D1D"/>
    <w:rsid w:val="00C46D3E"/>
    <w:rsid w:val="00C47418"/>
    <w:rsid w:val="00C4748B"/>
    <w:rsid w:val="00C47599"/>
    <w:rsid w:val="00C47655"/>
    <w:rsid w:val="00C47866"/>
    <w:rsid w:val="00C47A8B"/>
    <w:rsid w:val="00C47E2E"/>
    <w:rsid w:val="00C47E8E"/>
    <w:rsid w:val="00C47FF1"/>
    <w:rsid w:val="00C50160"/>
    <w:rsid w:val="00C501DD"/>
    <w:rsid w:val="00C50209"/>
    <w:rsid w:val="00C507C1"/>
    <w:rsid w:val="00C50968"/>
    <w:rsid w:val="00C50969"/>
    <w:rsid w:val="00C50AE6"/>
    <w:rsid w:val="00C50D4C"/>
    <w:rsid w:val="00C51236"/>
    <w:rsid w:val="00C512A8"/>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40E"/>
    <w:rsid w:val="00C545F1"/>
    <w:rsid w:val="00C54D61"/>
    <w:rsid w:val="00C55201"/>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2A6"/>
    <w:rsid w:val="00C613A0"/>
    <w:rsid w:val="00C61412"/>
    <w:rsid w:val="00C6155C"/>
    <w:rsid w:val="00C619DD"/>
    <w:rsid w:val="00C61D8B"/>
    <w:rsid w:val="00C61D99"/>
    <w:rsid w:val="00C61EEB"/>
    <w:rsid w:val="00C6276E"/>
    <w:rsid w:val="00C62848"/>
    <w:rsid w:val="00C62A69"/>
    <w:rsid w:val="00C6334A"/>
    <w:rsid w:val="00C6334E"/>
    <w:rsid w:val="00C63543"/>
    <w:rsid w:val="00C635E7"/>
    <w:rsid w:val="00C63616"/>
    <w:rsid w:val="00C63787"/>
    <w:rsid w:val="00C63814"/>
    <w:rsid w:val="00C63C86"/>
    <w:rsid w:val="00C63DCD"/>
    <w:rsid w:val="00C6430A"/>
    <w:rsid w:val="00C64486"/>
    <w:rsid w:val="00C644CC"/>
    <w:rsid w:val="00C6454A"/>
    <w:rsid w:val="00C64692"/>
    <w:rsid w:val="00C6482B"/>
    <w:rsid w:val="00C6497F"/>
    <w:rsid w:val="00C649AB"/>
    <w:rsid w:val="00C64A8D"/>
    <w:rsid w:val="00C64E68"/>
    <w:rsid w:val="00C64FCC"/>
    <w:rsid w:val="00C65087"/>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60C1"/>
    <w:rsid w:val="00C7637E"/>
    <w:rsid w:val="00C764B8"/>
    <w:rsid w:val="00C764E9"/>
    <w:rsid w:val="00C765D3"/>
    <w:rsid w:val="00C7666C"/>
    <w:rsid w:val="00C768A0"/>
    <w:rsid w:val="00C768EA"/>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602"/>
    <w:rsid w:val="00C80858"/>
    <w:rsid w:val="00C8090C"/>
    <w:rsid w:val="00C80DB5"/>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9A3"/>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E"/>
    <w:rsid w:val="00C903F6"/>
    <w:rsid w:val="00C905B0"/>
    <w:rsid w:val="00C90839"/>
    <w:rsid w:val="00C9090D"/>
    <w:rsid w:val="00C90D79"/>
    <w:rsid w:val="00C90F35"/>
    <w:rsid w:val="00C90F89"/>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9F6"/>
    <w:rsid w:val="00C95C7E"/>
    <w:rsid w:val="00C95DEB"/>
    <w:rsid w:val="00C95E25"/>
    <w:rsid w:val="00C9641D"/>
    <w:rsid w:val="00C9677B"/>
    <w:rsid w:val="00C96B54"/>
    <w:rsid w:val="00C96C39"/>
    <w:rsid w:val="00C96E69"/>
    <w:rsid w:val="00C96F7E"/>
    <w:rsid w:val="00C96FD7"/>
    <w:rsid w:val="00C971D8"/>
    <w:rsid w:val="00C97957"/>
    <w:rsid w:val="00C97D92"/>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A4E"/>
    <w:rsid w:val="00CA1B75"/>
    <w:rsid w:val="00CA1DC5"/>
    <w:rsid w:val="00CA1F27"/>
    <w:rsid w:val="00CA212F"/>
    <w:rsid w:val="00CA28DF"/>
    <w:rsid w:val="00CA29D6"/>
    <w:rsid w:val="00CA2BDE"/>
    <w:rsid w:val="00CA2FD1"/>
    <w:rsid w:val="00CA32D9"/>
    <w:rsid w:val="00CA3500"/>
    <w:rsid w:val="00CA3591"/>
    <w:rsid w:val="00CA3627"/>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A1B"/>
    <w:rsid w:val="00CA6CC0"/>
    <w:rsid w:val="00CA6D50"/>
    <w:rsid w:val="00CA6E19"/>
    <w:rsid w:val="00CA6F55"/>
    <w:rsid w:val="00CA73BE"/>
    <w:rsid w:val="00CA7477"/>
    <w:rsid w:val="00CA7603"/>
    <w:rsid w:val="00CA79A5"/>
    <w:rsid w:val="00CA7B34"/>
    <w:rsid w:val="00CB0066"/>
    <w:rsid w:val="00CB0190"/>
    <w:rsid w:val="00CB0211"/>
    <w:rsid w:val="00CB02B4"/>
    <w:rsid w:val="00CB02C1"/>
    <w:rsid w:val="00CB0721"/>
    <w:rsid w:val="00CB0791"/>
    <w:rsid w:val="00CB0894"/>
    <w:rsid w:val="00CB0AD0"/>
    <w:rsid w:val="00CB0C1D"/>
    <w:rsid w:val="00CB0FF9"/>
    <w:rsid w:val="00CB118C"/>
    <w:rsid w:val="00CB120B"/>
    <w:rsid w:val="00CB128A"/>
    <w:rsid w:val="00CB1460"/>
    <w:rsid w:val="00CB147F"/>
    <w:rsid w:val="00CB150A"/>
    <w:rsid w:val="00CB1B1F"/>
    <w:rsid w:val="00CB1E82"/>
    <w:rsid w:val="00CB1EBA"/>
    <w:rsid w:val="00CB1EFD"/>
    <w:rsid w:val="00CB21AD"/>
    <w:rsid w:val="00CB275E"/>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ECA"/>
    <w:rsid w:val="00CB5ED9"/>
    <w:rsid w:val="00CB6018"/>
    <w:rsid w:val="00CB603F"/>
    <w:rsid w:val="00CB60D6"/>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13F2"/>
    <w:rsid w:val="00CC15E0"/>
    <w:rsid w:val="00CC16E0"/>
    <w:rsid w:val="00CC16E3"/>
    <w:rsid w:val="00CC17A8"/>
    <w:rsid w:val="00CC197D"/>
    <w:rsid w:val="00CC19E6"/>
    <w:rsid w:val="00CC1C3F"/>
    <w:rsid w:val="00CC1EA4"/>
    <w:rsid w:val="00CC1EAF"/>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6D7"/>
    <w:rsid w:val="00CC676B"/>
    <w:rsid w:val="00CC681E"/>
    <w:rsid w:val="00CC6A1F"/>
    <w:rsid w:val="00CC6CFE"/>
    <w:rsid w:val="00CC6D3C"/>
    <w:rsid w:val="00CC6E13"/>
    <w:rsid w:val="00CC6E4C"/>
    <w:rsid w:val="00CC7050"/>
    <w:rsid w:val="00CC726E"/>
    <w:rsid w:val="00CC7278"/>
    <w:rsid w:val="00CC74FB"/>
    <w:rsid w:val="00CC7671"/>
    <w:rsid w:val="00CC767A"/>
    <w:rsid w:val="00CC76A4"/>
    <w:rsid w:val="00CC7763"/>
    <w:rsid w:val="00CC7D0A"/>
    <w:rsid w:val="00CC7DED"/>
    <w:rsid w:val="00CD02F0"/>
    <w:rsid w:val="00CD0360"/>
    <w:rsid w:val="00CD07C5"/>
    <w:rsid w:val="00CD09EE"/>
    <w:rsid w:val="00CD0E73"/>
    <w:rsid w:val="00CD0EC3"/>
    <w:rsid w:val="00CD0F5C"/>
    <w:rsid w:val="00CD103E"/>
    <w:rsid w:val="00CD137C"/>
    <w:rsid w:val="00CD17B6"/>
    <w:rsid w:val="00CD18F7"/>
    <w:rsid w:val="00CD1CFD"/>
    <w:rsid w:val="00CD1E77"/>
    <w:rsid w:val="00CD1FD1"/>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A3D"/>
    <w:rsid w:val="00CD5A64"/>
    <w:rsid w:val="00CD5B82"/>
    <w:rsid w:val="00CD5E17"/>
    <w:rsid w:val="00CD6289"/>
    <w:rsid w:val="00CD638D"/>
    <w:rsid w:val="00CD63DE"/>
    <w:rsid w:val="00CD643D"/>
    <w:rsid w:val="00CD647D"/>
    <w:rsid w:val="00CD6823"/>
    <w:rsid w:val="00CD6B3A"/>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596"/>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7D9"/>
    <w:rsid w:val="00CE67E4"/>
    <w:rsid w:val="00CE68F5"/>
    <w:rsid w:val="00CE6AA6"/>
    <w:rsid w:val="00CE6B62"/>
    <w:rsid w:val="00CE6C2A"/>
    <w:rsid w:val="00CE6C5C"/>
    <w:rsid w:val="00CE6D7C"/>
    <w:rsid w:val="00CE6D83"/>
    <w:rsid w:val="00CE7286"/>
    <w:rsid w:val="00CE7466"/>
    <w:rsid w:val="00CE751B"/>
    <w:rsid w:val="00CE758D"/>
    <w:rsid w:val="00CE76DC"/>
    <w:rsid w:val="00CE7DBC"/>
    <w:rsid w:val="00CE7EA6"/>
    <w:rsid w:val="00CF0060"/>
    <w:rsid w:val="00CF0083"/>
    <w:rsid w:val="00CF05DF"/>
    <w:rsid w:val="00CF069D"/>
    <w:rsid w:val="00CF0ACD"/>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D4A"/>
    <w:rsid w:val="00CF3FDF"/>
    <w:rsid w:val="00CF4223"/>
    <w:rsid w:val="00CF424A"/>
    <w:rsid w:val="00CF434E"/>
    <w:rsid w:val="00CF4654"/>
    <w:rsid w:val="00CF4752"/>
    <w:rsid w:val="00CF4773"/>
    <w:rsid w:val="00CF481F"/>
    <w:rsid w:val="00CF48F0"/>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A3"/>
    <w:rsid w:val="00CF7ACF"/>
    <w:rsid w:val="00CF7DB1"/>
    <w:rsid w:val="00CF7E7B"/>
    <w:rsid w:val="00D001D1"/>
    <w:rsid w:val="00D0021B"/>
    <w:rsid w:val="00D00288"/>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1D3"/>
    <w:rsid w:val="00D024F7"/>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500B"/>
    <w:rsid w:val="00D050D9"/>
    <w:rsid w:val="00D05300"/>
    <w:rsid w:val="00D05308"/>
    <w:rsid w:val="00D0536A"/>
    <w:rsid w:val="00D05439"/>
    <w:rsid w:val="00D054FA"/>
    <w:rsid w:val="00D05939"/>
    <w:rsid w:val="00D05B47"/>
    <w:rsid w:val="00D05CA2"/>
    <w:rsid w:val="00D05E6E"/>
    <w:rsid w:val="00D05E98"/>
    <w:rsid w:val="00D0648D"/>
    <w:rsid w:val="00D06564"/>
    <w:rsid w:val="00D067F6"/>
    <w:rsid w:val="00D06BE3"/>
    <w:rsid w:val="00D06C1A"/>
    <w:rsid w:val="00D06EF5"/>
    <w:rsid w:val="00D070F0"/>
    <w:rsid w:val="00D0723F"/>
    <w:rsid w:val="00D0794A"/>
    <w:rsid w:val="00D07DC4"/>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327"/>
    <w:rsid w:val="00D12335"/>
    <w:rsid w:val="00D1246D"/>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A5"/>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771"/>
    <w:rsid w:val="00D1579C"/>
    <w:rsid w:val="00D15877"/>
    <w:rsid w:val="00D158B7"/>
    <w:rsid w:val="00D15B9D"/>
    <w:rsid w:val="00D15D52"/>
    <w:rsid w:val="00D15E4F"/>
    <w:rsid w:val="00D162FF"/>
    <w:rsid w:val="00D1649A"/>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17FA7"/>
    <w:rsid w:val="00D20206"/>
    <w:rsid w:val="00D2024C"/>
    <w:rsid w:val="00D20372"/>
    <w:rsid w:val="00D204BB"/>
    <w:rsid w:val="00D2070E"/>
    <w:rsid w:val="00D2086B"/>
    <w:rsid w:val="00D21196"/>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C12"/>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AE"/>
    <w:rsid w:val="00D274C9"/>
    <w:rsid w:val="00D276F1"/>
    <w:rsid w:val="00D277E7"/>
    <w:rsid w:val="00D278CD"/>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24F"/>
    <w:rsid w:val="00D343B8"/>
    <w:rsid w:val="00D34699"/>
    <w:rsid w:val="00D34A72"/>
    <w:rsid w:val="00D34C73"/>
    <w:rsid w:val="00D34EFC"/>
    <w:rsid w:val="00D35075"/>
    <w:rsid w:val="00D350CE"/>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106"/>
    <w:rsid w:val="00D42213"/>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736"/>
    <w:rsid w:val="00D4588D"/>
    <w:rsid w:val="00D45897"/>
    <w:rsid w:val="00D45966"/>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2D"/>
    <w:rsid w:val="00D4710C"/>
    <w:rsid w:val="00D47359"/>
    <w:rsid w:val="00D47415"/>
    <w:rsid w:val="00D474DD"/>
    <w:rsid w:val="00D47883"/>
    <w:rsid w:val="00D47E57"/>
    <w:rsid w:val="00D47FB3"/>
    <w:rsid w:val="00D50038"/>
    <w:rsid w:val="00D50163"/>
    <w:rsid w:val="00D5059E"/>
    <w:rsid w:val="00D50717"/>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F1B"/>
    <w:rsid w:val="00D52FE2"/>
    <w:rsid w:val="00D53185"/>
    <w:rsid w:val="00D534B4"/>
    <w:rsid w:val="00D536B3"/>
    <w:rsid w:val="00D53769"/>
    <w:rsid w:val="00D537FB"/>
    <w:rsid w:val="00D53A14"/>
    <w:rsid w:val="00D54150"/>
    <w:rsid w:val="00D542A5"/>
    <w:rsid w:val="00D54423"/>
    <w:rsid w:val="00D545A4"/>
    <w:rsid w:val="00D54959"/>
    <w:rsid w:val="00D54C35"/>
    <w:rsid w:val="00D5506B"/>
    <w:rsid w:val="00D55183"/>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AC"/>
    <w:rsid w:val="00D60BE2"/>
    <w:rsid w:val="00D60C3F"/>
    <w:rsid w:val="00D60E19"/>
    <w:rsid w:val="00D61427"/>
    <w:rsid w:val="00D6170C"/>
    <w:rsid w:val="00D61A57"/>
    <w:rsid w:val="00D61AB5"/>
    <w:rsid w:val="00D61DC0"/>
    <w:rsid w:val="00D61E8A"/>
    <w:rsid w:val="00D61EA5"/>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AD5"/>
    <w:rsid w:val="00D70B54"/>
    <w:rsid w:val="00D70F58"/>
    <w:rsid w:val="00D714D0"/>
    <w:rsid w:val="00D71574"/>
    <w:rsid w:val="00D71B3C"/>
    <w:rsid w:val="00D71B4D"/>
    <w:rsid w:val="00D71DE3"/>
    <w:rsid w:val="00D72118"/>
    <w:rsid w:val="00D724CB"/>
    <w:rsid w:val="00D72513"/>
    <w:rsid w:val="00D72B9A"/>
    <w:rsid w:val="00D734E8"/>
    <w:rsid w:val="00D73956"/>
    <w:rsid w:val="00D73A2C"/>
    <w:rsid w:val="00D73A63"/>
    <w:rsid w:val="00D73CB4"/>
    <w:rsid w:val="00D73D95"/>
    <w:rsid w:val="00D73FB0"/>
    <w:rsid w:val="00D742DC"/>
    <w:rsid w:val="00D7441D"/>
    <w:rsid w:val="00D74591"/>
    <w:rsid w:val="00D74732"/>
    <w:rsid w:val="00D74886"/>
    <w:rsid w:val="00D74DD7"/>
    <w:rsid w:val="00D74E5A"/>
    <w:rsid w:val="00D74F0D"/>
    <w:rsid w:val="00D751C7"/>
    <w:rsid w:val="00D75536"/>
    <w:rsid w:val="00D75795"/>
    <w:rsid w:val="00D757DE"/>
    <w:rsid w:val="00D757F6"/>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818"/>
    <w:rsid w:val="00D83AD2"/>
    <w:rsid w:val="00D83C3D"/>
    <w:rsid w:val="00D8450E"/>
    <w:rsid w:val="00D8453C"/>
    <w:rsid w:val="00D845D1"/>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EE"/>
    <w:rsid w:val="00D8759D"/>
    <w:rsid w:val="00D8781E"/>
    <w:rsid w:val="00D87F31"/>
    <w:rsid w:val="00D87F60"/>
    <w:rsid w:val="00D90105"/>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7DD"/>
    <w:rsid w:val="00D9594E"/>
    <w:rsid w:val="00D95A84"/>
    <w:rsid w:val="00D95B63"/>
    <w:rsid w:val="00D95D67"/>
    <w:rsid w:val="00D960D2"/>
    <w:rsid w:val="00D96277"/>
    <w:rsid w:val="00D9631A"/>
    <w:rsid w:val="00D96867"/>
    <w:rsid w:val="00D96F7B"/>
    <w:rsid w:val="00D97591"/>
    <w:rsid w:val="00D97798"/>
    <w:rsid w:val="00D97801"/>
    <w:rsid w:val="00D97878"/>
    <w:rsid w:val="00D97AB3"/>
    <w:rsid w:val="00D97F8E"/>
    <w:rsid w:val="00D97FCF"/>
    <w:rsid w:val="00DA00C1"/>
    <w:rsid w:val="00DA01A3"/>
    <w:rsid w:val="00DA07E5"/>
    <w:rsid w:val="00DA0953"/>
    <w:rsid w:val="00DA0D25"/>
    <w:rsid w:val="00DA104F"/>
    <w:rsid w:val="00DA10C2"/>
    <w:rsid w:val="00DA182B"/>
    <w:rsid w:val="00DA1964"/>
    <w:rsid w:val="00DA19D0"/>
    <w:rsid w:val="00DA1B60"/>
    <w:rsid w:val="00DA1C3C"/>
    <w:rsid w:val="00DA1D96"/>
    <w:rsid w:val="00DA1DA3"/>
    <w:rsid w:val="00DA1E49"/>
    <w:rsid w:val="00DA1F42"/>
    <w:rsid w:val="00DA211A"/>
    <w:rsid w:val="00DA23CC"/>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F9"/>
    <w:rsid w:val="00DA3EC6"/>
    <w:rsid w:val="00DA3F31"/>
    <w:rsid w:val="00DA3FEF"/>
    <w:rsid w:val="00DA403D"/>
    <w:rsid w:val="00DA429D"/>
    <w:rsid w:val="00DA4656"/>
    <w:rsid w:val="00DA469F"/>
    <w:rsid w:val="00DA4A50"/>
    <w:rsid w:val="00DA4C1B"/>
    <w:rsid w:val="00DA4F78"/>
    <w:rsid w:val="00DA50D0"/>
    <w:rsid w:val="00DA55AC"/>
    <w:rsid w:val="00DA5821"/>
    <w:rsid w:val="00DA59D7"/>
    <w:rsid w:val="00DA5AB5"/>
    <w:rsid w:val="00DA5E8C"/>
    <w:rsid w:val="00DA5F88"/>
    <w:rsid w:val="00DA60C3"/>
    <w:rsid w:val="00DA61AB"/>
    <w:rsid w:val="00DA67E9"/>
    <w:rsid w:val="00DA6979"/>
    <w:rsid w:val="00DA6C11"/>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3DA"/>
    <w:rsid w:val="00DB1462"/>
    <w:rsid w:val="00DB2517"/>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CB3"/>
    <w:rsid w:val="00DB4FE2"/>
    <w:rsid w:val="00DB50EE"/>
    <w:rsid w:val="00DB52BF"/>
    <w:rsid w:val="00DB547D"/>
    <w:rsid w:val="00DB598B"/>
    <w:rsid w:val="00DB5A96"/>
    <w:rsid w:val="00DB5A9A"/>
    <w:rsid w:val="00DB5AA6"/>
    <w:rsid w:val="00DB5AFB"/>
    <w:rsid w:val="00DB5BA2"/>
    <w:rsid w:val="00DB6070"/>
    <w:rsid w:val="00DB62F9"/>
    <w:rsid w:val="00DB6311"/>
    <w:rsid w:val="00DB63FE"/>
    <w:rsid w:val="00DB6551"/>
    <w:rsid w:val="00DB6868"/>
    <w:rsid w:val="00DB6D91"/>
    <w:rsid w:val="00DB6F4B"/>
    <w:rsid w:val="00DB707B"/>
    <w:rsid w:val="00DB73F8"/>
    <w:rsid w:val="00DB79BE"/>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2066"/>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74C"/>
    <w:rsid w:val="00DC4879"/>
    <w:rsid w:val="00DC4F0B"/>
    <w:rsid w:val="00DC562D"/>
    <w:rsid w:val="00DC5807"/>
    <w:rsid w:val="00DC5918"/>
    <w:rsid w:val="00DC5AD3"/>
    <w:rsid w:val="00DC5B2C"/>
    <w:rsid w:val="00DC5C24"/>
    <w:rsid w:val="00DC5F8A"/>
    <w:rsid w:val="00DC5FE2"/>
    <w:rsid w:val="00DC61B8"/>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71F"/>
    <w:rsid w:val="00DD477D"/>
    <w:rsid w:val="00DD483B"/>
    <w:rsid w:val="00DD4B11"/>
    <w:rsid w:val="00DD4E70"/>
    <w:rsid w:val="00DD4F0C"/>
    <w:rsid w:val="00DD547C"/>
    <w:rsid w:val="00DD5536"/>
    <w:rsid w:val="00DD554A"/>
    <w:rsid w:val="00DD55E7"/>
    <w:rsid w:val="00DD5BB5"/>
    <w:rsid w:val="00DD62CE"/>
    <w:rsid w:val="00DD6301"/>
    <w:rsid w:val="00DD63A7"/>
    <w:rsid w:val="00DD6403"/>
    <w:rsid w:val="00DD6846"/>
    <w:rsid w:val="00DD68FA"/>
    <w:rsid w:val="00DD6ACC"/>
    <w:rsid w:val="00DD729C"/>
    <w:rsid w:val="00DD72CB"/>
    <w:rsid w:val="00DD7431"/>
    <w:rsid w:val="00DD75CC"/>
    <w:rsid w:val="00DD77E3"/>
    <w:rsid w:val="00DD7A6F"/>
    <w:rsid w:val="00DD7B09"/>
    <w:rsid w:val="00DD7B94"/>
    <w:rsid w:val="00DD7E11"/>
    <w:rsid w:val="00DD7EF6"/>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3"/>
    <w:rsid w:val="00DE2178"/>
    <w:rsid w:val="00DE2200"/>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523"/>
    <w:rsid w:val="00DE5608"/>
    <w:rsid w:val="00DE57D8"/>
    <w:rsid w:val="00DE5B64"/>
    <w:rsid w:val="00DE5B6C"/>
    <w:rsid w:val="00DE5C17"/>
    <w:rsid w:val="00DE5E66"/>
    <w:rsid w:val="00DE5EBE"/>
    <w:rsid w:val="00DE612F"/>
    <w:rsid w:val="00DE619A"/>
    <w:rsid w:val="00DE625D"/>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F02C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B8"/>
    <w:rsid w:val="00DF31C9"/>
    <w:rsid w:val="00DF325F"/>
    <w:rsid w:val="00DF335A"/>
    <w:rsid w:val="00DF336C"/>
    <w:rsid w:val="00DF33DC"/>
    <w:rsid w:val="00DF35C7"/>
    <w:rsid w:val="00DF3600"/>
    <w:rsid w:val="00DF3821"/>
    <w:rsid w:val="00DF397A"/>
    <w:rsid w:val="00DF39A7"/>
    <w:rsid w:val="00DF3E4D"/>
    <w:rsid w:val="00DF3FB7"/>
    <w:rsid w:val="00DF4087"/>
    <w:rsid w:val="00DF4174"/>
    <w:rsid w:val="00DF41C4"/>
    <w:rsid w:val="00DF4375"/>
    <w:rsid w:val="00DF48A8"/>
    <w:rsid w:val="00DF4C9B"/>
    <w:rsid w:val="00DF5293"/>
    <w:rsid w:val="00DF56B5"/>
    <w:rsid w:val="00DF5AFF"/>
    <w:rsid w:val="00DF5C45"/>
    <w:rsid w:val="00DF5C55"/>
    <w:rsid w:val="00DF5D53"/>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C01"/>
    <w:rsid w:val="00DF7E94"/>
    <w:rsid w:val="00E00068"/>
    <w:rsid w:val="00E00080"/>
    <w:rsid w:val="00E00081"/>
    <w:rsid w:val="00E001D3"/>
    <w:rsid w:val="00E00389"/>
    <w:rsid w:val="00E004BC"/>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9B1"/>
    <w:rsid w:val="00E029F5"/>
    <w:rsid w:val="00E02CED"/>
    <w:rsid w:val="00E02E71"/>
    <w:rsid w:val="00E03020"/>
    <w:rsid w:val="00E03032"/>
    <w:rsid w:val="00E039FD"/>
    <w:rsid w:val="00E03A61"/>
    <w:rsid w:val="00E03D17"/>
    <w:rsid w:val="00E0423B"/>
    <w:rsid w:val="00E042D9"/>
    <w:rsid w:val="00E044F1"/>
    <w:rsid w:val="00E04BFB"/>
    <w:rsid w:val="00E04ECE"/>
    <w:rsid w:val="00E05118"/>
    <w:rsid w:val="00E05212"/>
    <w:rsid w:val="00E052E8"/>
    <w:rsid w:val="00E053B9"/>
    <w:rsid w:val="00E055FC"/>
    <w:rsid w:val="00E062D1"/>
    <w:rsid w:val="00E062E6"/>
    <w:rsid w:val="00E064D6"/>
    <w:rsid w:val="00E0655E"/>
    <w:rsid w:val="00E06606"/>
    <w:rsid w:val="00E06684"/>
    <w:rsid w:val="00E0671F"/>
    <w:rsid w:val="00E06B10"/>
    <w:rsid w:val="00E06CAF"/>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7B5"/>
    <w:rsid w:val="00E10852"/>
    <w:rsid w:val="00E10CC1"/>
    <w:rsid w:val="00E10E88"/>
    <w:rsid w:val="00E10F6A"/>
    <w:rsid w:val="00E11084"/>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55"/>
    <w:rsid w:val="00E14F61"/>
    <w:rsid w:val="00E151D6"/>
    <w:rsid w:val="00E157B6"/>
    <w:rsid w:val="00E1585C"/>
    <w:rsid w:val="00E15899"/>
    <w:rsid w:val="00E15B71"/>
    <w:rsid w:val="00E15EDD"/>
    <w:rsid w:val="00E1609D"/>
    <w:rsid w:val="00E161AF"/>
    <w:rsid w:val="00E163A0"/>
    <w:rsid w:val="00E163AB"/>
    <w:rsid w:val="00E16406"/>
    <w:rsid w:val="00E1660C"/>
    <w:rsid w:val="00E1683E"/>
    <w:rsid w:val="00E1686A"/>
    <w:rsid w:val="00E16B11"/>
    <w:rsid w:val="00E16BC8"/>
    <w:rsid w:val="00E17012"/>
    <w:rsid w:val="00E17378"/>
    <w:rsid w:val="00E176AB"/>
    <w:rsid w:val="00E1775A"/>
    <w:rsid w:val="00E17919"/>
    <w:rsid w:val="00E17ABE"/>
    <w:rsid w:val="00E17B33"/>
    <w:rsid w:val="00E17BA9"/>
    <w:rsid w:val="00E17C07"/>
    <w:rsid w:val="00E17D84"/>
    <w:rsid w:val="00E17E7E"/>
    <w:rsid w:val="00E20084"/>
    <w:rsid w:val="00E2036D"/>
    <w:rsid w:val="00E20568"/>
    <w:rsid w:val="00E2083F"/>
    <w:rsid w:val="00E20B9F"/>
    <w:rsid w:val="00E20ED8"/>
    <w:rsid w:val="00E211A1"/>
    <w:rsid w:val="00E211D4"/>
    <w:rsid w:val="00E211FA"/>
    <w:rsid w:val="00E212EF"/>
    <w:rsid w:val="00E213AD"/>
    <w:rsid w:val="00E21407"/>
    <w:rsid w:val="00E2158B"/>
    <w:rsid w:val="00E2161E"/>
    <w:rsid w:val="00E21CFB"/>
    <w:rsid w:val="00E21D06"/>
    <w:rsid w:val="00E2213D"/>
    <w:rsid w:val="00E2215B"/>
    <w:rsid w:val="00E22211"/>
    <w:rsid w:val="00E222D3"/>
    <w:rsid w:val="00E2255D"/>
    <w:rsid w:val="00E226C6"/>
    <w:rsid w:val="00E229E7"/>
    <w:rsid w:val="00E22C3B"/>
    <w:rsid w:val="00E22E5B"/>
    <w:rsid w:val="00E22FFF"/>
    <w:rsid w:val="00E23103"/>
    <w:rsid w:val="00E231BC"/>
    <w:rsid w:val="00E23767"/>
    <w:rsid w:val="00E238D6"/>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6032"/>
    <w:rsid w:val="00E260D9"/>
    <w:rsid w:val="00E2624B"/>
    <w:rsid w:val="00E2633F"/>
    <w:rsid w:val="00E26413"/>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A28"/>
    <w:rsid w:val="00E31D07"/>
    <w:rsid w:val="00E31DF2"/>
    <w:rsid w:val="00E3231B"/>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A83"/>
    <w:rsid w:val="00E35C73"/>
    <w:rsid w:val="00E35D14"/>
    <w:rsid w:val="00E35F1A"/>
    <w:rsid w:val="00E35FAE"/>
    <w:rsid w:val="00E36099"/>
    <w:rsid w:val="00E36121"/>
    <w:rsid w:val="00E363D2"/>
    <w:rsid w:val="00E36C37"/>
    <w:rsid w:val="00E36D71"/>
    <w:rsid w:val="00E36F62"/>
    <w:rsid w:val="00E37188"/>
    <w:rsid w:val="00E372D5"/>
    <w:rsid w:val="00E3766B"/>
    <w:rsid w:val="00E37948"/>
    <w:rsid w:val="00E37A47"/>
    <w:rsid w:val="00E37B6A"/>
    <w:rsid w:val="00E37BC4"/>
    <w:rsid w:val="00E37D25"/>
    <w:rsid w:val="00E402C5"/>
    <w:rsid w:val="00E40489"/>
    <w:rsid w:val="00E4053E"/>
    <w:rsid w:val="00E406A5"/>
    <w:rsid w:val="00E40AF1"/>
    <w:rsid w:val="00E40D1F"/>
    <w:rsid w:val="00E40D96"/>
    <w:rsid w:val="00E40F6C"/>
    <w:rsid w:val="00E41049"/>
    <w:rsid w:val="00E41084"/>
    <w:rsid w:val="00E41202"/>
    <w:rsid w:val="00E4166F"/>
    <w:rsid w:val="00E419F3"/>
    <w:rsid w:val="00E41A93"/>
    <w:rsid w:val="00E41B6C"/>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91B"/>
    <w:rsid w:val="00E43AB3"/>
    <w:rsid w:val="00E43C6A"/>
    <w:rsid w:val="00E43DC7"/>
    <w:rsid w:val="00E43E32"/>
    <w:rsid w:val="00E44068"/>
    <w:rsid w:val="00E4448B"/>
    <w:rsid w:val="00E44491"/>
    <w:rsid w:val="00E445AB"/>
    <w:rsid w:val="00E4468C"/>
    <w:rsid w:val="00E446ED"/>
    <w:rsid w:val="00E44809"/>
    <w:rsid w:val="00E44A53"/>
    <w:rsid w:val="00E44BB1"/>
    <w:rsid w:val="00E44BD2"/>
    <w:rsid w:val="00E44E7A"/>
    <w:rsid w:val="00E45207"/>
    <w:rsid w:val="00E454A1"/>
    <w:rsid w:val="00E454F5"/>
    <w:rsid w:val="00E45554"/>
    <w:rsid w:val="00E457BC"/>
    <w:rsid w:val="00E4608B"/>
    <w:rsid w:val="00E46211"/>
    <w:rsid w:val="00E46311"/>
    <w:rsid w:val="00E463A9"/>
    <w:rsid w:val="00E469D0"/>
    <w:rsid w:val="00E46A5A"/>
    <w:rsid w:val="00E46F64"/>
    <w:rsid w:val="00E4702B"/>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9FB"/>
    <w:rsid w:val="00E53A24"/>
    <w:rsid w:val="00E53AE0"/>
    <w:rsid w:val="00E53B49"/>
    <w:rsid w:val="00E53C86"/>
    <w:rsid w:val="00E53F75"/>
    <w:rsid w:val="00E54178"/>
    <w:rsid w:val="00E541C1"/>
    <w:rsid w:val="00E543E9"/>
    <w:rsid w:val="00E54B02"/>
    <w:rsid w:val="00E54D58"/>
    <w:rsid w:val="00E552A7"/>
    <w:rsid w:val="00E553BC"/>
    <w:rsid w:val="00E553C9"/>
    <w:rsid w:val="00E55654"/>
    <w:rsid w:val="00E556A3"/>
    <w:rsid w:val="00E55756"/>
    <w:rsid w:val="00E55AD4"/>
    <w:rsid w:val="00E55ADC"/>
    <w:rsid w:val="00E55FD8"/>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BB9"/>
    <w:rsid w:val="00E64464"/>
    <w:rsid w:val="00E64529"/>
    <w:rsid w:val="00E645AF"/>
    <w:rsid w:val="00E64DC9"/>
    <w:rsid w:val="00E65558"/>
    <w:rsid w:val="00E655DD"/>
    <w:rsid w:val="00E65AD8"/>
    <w:rsid w:val="00E65F14"/>
    <w:rsid w:val="00E65F1A"/>
    <w:rsid w:val="00E65F1E"/>
    <w:rsid w:val="00E65F2D"/>
    <w:rsid w:val="00E6619F"/>
    <w:rsid w:val="00E66291"/>
    <w:rsid w:val="00E66334"/>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77D"/>
    <w:rsid w:val="00E73A4A"/>
    <w:rsid w:val="00E73A9C"/>
    <w:rsid w:val="00E7402D"/>
    <w:rsid w:val="00E741A1"/>
    <w:rsid w:val="00E741A8"/>
    <w:rsid w:val="00E741C6"/>
    <w:rsid w:val="00E743CB"/>
    <w:rsid w:val="00E745C6"/>
    <w:rsid w:val="00E749A6"/>
    <w:rsid w:val="00E74BC8"/>
    <w:rsid w:val="00E74BEC"/>
    <w:rsid w:val="00E74D23"/>
    <w:rsid w:val="00E74FC0"/>
    <w:rsid w:val="00E751C3"/>
    <w:rsid w:val="00E7559C"/>
    <w:rsid w:val="00E75602"/>
    <w:rsid w:val="00E75A2D"/>
    <w:rsid w:val="00E75A5C"/>
    <w:rsid w:val="00E75B9F"/>
    <w:rsid w:val="00E75FB6"/>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20FA"/>
    <w:rsid w:val="00E82277"/>
    <w:rsid w:val="00E824E1"/>
    <w:rsid w:val="00E82542"/>
    <w:rsid w:val="00E827B1"/>
    <w:rsid w:val="00E82B8A"/>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45"/>
    <w:rsid w:val="00E87F68"/>
    <w:rsid w:val="00E90293"/>
    <w:rsid w:val="00E90439"/>
    <w:rsid w:val="00E905B2"/>
    <w:rsid w:val="00E90652"/>
    <w:rsid w:val="00E907B4"/>
    <w:rsid w:val="00E9084F"/>
    <w:rsid w:val="00E90D89"/>
    <w:rsid w:val="00E9111A"/>
    <w:rsid w:val="00E9116F"/>
    <w:rsid w:val="00E912E3"/>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4C1"/>
    <w:rsid w:val="00E957B0"/>
    <w:rsid w:val="00E958BB"/>
    <w:rsid w:val="00E95CE6"/>
    <w:rsid w:val="00E96240"/>
    <w:rsid w:val="00E96579"/>
    <w:rsid w:val="00E966B3"/>
    <w:rsid w:val="00E9680D"/>
    <w:rsid w:val="00E9685B"/>
    <w:rsid w:val="00E96B2D"/>
    <w:rsid w:val="00E96FAF"/>
    <w:rsid w:val="00E97266"/>
    <w:rsid w:val="00E97732"/>
    <w:rsid w:val="00E9774E"/>
    <w:rsid w:val="00E9781D"/>
    <w:rsid w:val="00E979A5"/>
    <w:rsid w:val="00E97F49"/>
    <w:rsid w:val="00EA005F"/>
    <w:rsid w:val="00EA070E"/>
    <w:rsid w:val="00EA08CE"/>
    <w:rsid w:val="00EA0C12"/>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8FB"/>
    <w:rsid w:val="00EA2B68"/>
    <w:rsid w:val="00EA2E4B"/>
    <w:rsid w:val="00EA32C9"/>
    <w:rsid w:val="00EA32D8"/>
    <w:rsid w:val="00EA33D2"/>
    <w:rsid w:val="00EA356C"/>
    <w:rsid w:val="00EA3789"/>
    <w:rsid w:val="00EA3FF1"/>
    <w:rsid w:val="00EA4140"/>
    <w:rsid w:val="00EA41B0"/>
    <w:rsid w:val="00EA4842"/>
    <w:rsid w:val="00EA4C57"/>
    <w:rsid w:val="00EA4E59"/>
    <w:rsid w:val="00EA4FD5"/>
    <w:rsid w:val="00EA5331"/>
    <w:rsid w:val="00EA54FC"/>
    <w:rsid w:val="00EA566E"/>
    <w:rsid w:val="00EA59F3"/>
    <w:rsid w:val="00EA5ED2"/>
    <w:rsid w:val="00EA6392"/>
    <w:rsid w:val="00EA699A"/>
    <w:rsid w:val="00EA69F1"/>
    <w:rsid w:val="00EA6A6A"/>
    <w:rsid w:val="00EA6AA0"/>
    <w:rsid w:val="00EA6ABC"/>
    <w:rsid w:val="00EA707F"/>
    <w:rsid w:val="00EA70D0"/>
    <w:rsid w:val="00EA7136"/>
    <w:rsid w:val="00EA7244"/>
    <w:rsid w:val="00EA72D4"/>
    <w:rsid w:val="00EA73CA"/>
    <w:rsid w:val="00EA79D5"/>
    <w:rsid w:val="00EA7FB1"/>
    <w:rsid w:val="00EA7FF8"/>
    <w:rsid w:val="00EB03CA"/>
    <w:rsid w:val="00EB05F4"/>
    <w:rsid w:val="00EB07F4"/>
    <w:rsid w:val="00EB07F9"/>
    <w:rsid w:val="00EB08D2"/>
    <w:rsid w:val="00EB0980"/>
    <w:rsid w:val="00EB0AA1"/>
    <w:rsid w:val="00EB0B12"/>
    <w:rsid w:val="00EB0E15"/>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834"/>
    <w:rsid w:val="00EB79F4"/>
    <w:rsid w:val="00EB7A5A"/>
    <w:rsid w:val="00EB7D54"/>
    <w:rsid w:val="00EC00D4"/>
    <w:rsid w:val="00EC014E"/>
    <w:rsid w:val="00EC05CC"/>
    <w:rsid w:val="00EC0749"/>
    <w:rsid w:val="00EC096D"/>
    <w:rsid w:val="00EC0991"/>
    <w:rsid w:val="00EC0AEA"/>
    <w:rsid w:val="00EC0B38"/>
    <w:rsid w:val="00EC0CF8"/>
    <w:rsid w:val="00EC0D40"/>
    <w:rsid w:val="00EC13C3"/>
    <w:rsid w:val="00EC1624"/>
    <w:rsid w:val="00EC16BD"/>
    <w:rsid w:val="00EC1E3B"/>
    <w:rsid w:val="00EC203E"/>
    <w:rsid w:val="00EC2415"/>
    <w:rsid w:val="00EC27FA"/>
    <w:rsid w:val="00EC2965"/>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7B6"/>
    <w:rsid w:val="00EC59D8"/>
    <w:rsid w:val="00EC5A9C"/>
    <w:rsid w:val="00EC5DDC"/>
    <w:rsid w:val="00EC5F07"/>
    <w:rsid w:val="00EC5FBE"/>
    <w:rsid w:val="00EC608B"/>
    <w:rsid w:val="00EC6340"/>
    <w:rsid w:val="00EC66D5"/>
    <w:rsid w:val="00EC6785"/>
    <w:rsid w:val="00EC6AD5"/>
    <w:rsid w:val="00EC6CCB"/>
    <w:rsid w:val="00EC70F6"/>
    <w:rsid w:val="00EC7127"/>
    <w:rsid w:val="00EC7159"/>
    <w:rsid w:val="00EC74B0"/>
    <w:rsid w:val="00EC76DE"/>
    <w:rsid w:val="00EC7956"/>
    <w:rsid w:val="00EC7FBD"/>
    <w:rsid w:val="00ED0100"/>
    <w:rsid w:val="00ED02FF"/>
    <w:rsid w:val="00ED041C"/>
    <w:rsid w:val="00ED04E0"/>
    <w:rsid w:val="00ED05CB"/>
    <w:rsid w:val="00ED0753"/>
    <w:rsid w:val="00ED095E"/>
    <w:rsid w:val="00ED0A32"/>
    <w:rsid w:val="00ED0A80"/>
    <w:rsid w:val="00ED0C89"/>
    <w:rsid w:val="00ED0E16"/>
    <w:rsid w:val="00ED15F5"/>
    <w:rsid w:val="00ED1773"/>
    <w:rsid w:val="00ED1A65"/>
    <w:rsid w:val="00ED1A90"/>
    <w:rsid w:val="00ED1BBF"/>
    <w:rsid w:val="00ED1C47"/>
    <w:rsid w:val="00ED1C79"/>
    <w:rsid w:val="00ED1E6A"/>
    <w:rsid w:val="00ED2135"/>
    <w:rsid w:val="00ED21BA"/>
    <w:rsid w:val="00ED2474"/>
    <w:rsid w:val="00ED25C0"/>
    <w:rsid w:val="00ED2A29"/>
    <w:rsid w:val="00ED2B3F"/>
    <w:rsid w:val="00ED2F26"/>
    <w:rsid w:val="00ED30F7"/>
    <w:rsid w:val="00ED310C"/>
    <w:rsid w:val="00ED31FF"/>
    <w:rsid w:val="00ED36F7"/>
    <w:rsid w:val="00ED38D7"/>
    <w:rsid w:val="00ED3B01"/>
    <w:rsid w:val="00ED3E5B"/>
    <w:rsid w:val="00ED3FAF"/>
    <w:rsid w:val="00ED446E"/>
    <w:rsid w:val="00ED4A85"/>
    <w:rsid w:val="00ED502E"/>
    <w:rsid w:val="00ED508C"/>
    <w:rsid w:val="00ED541B"/>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715A"/>
    <w:rsid w:val="00EE727D"/>
    <w:rsid w:val="00EE76A7"/>
    <w:rsid w:val="00EE77C9"/>
    <w:rsid w:val="00EE793E"/>
    <w:rsid w:val="00EE7AAC"/>
    <w:rsid w:val="00EE7C15"/>
    <w:rsid w:val="00EE7E4F"/>
    <w:rsid w:val="00EE7F57"/>
    <w:rsid w:val="00EF05F6"/>
    <w:rsid w:val="00EF0924"/>
    <w:rsid w:val="00EF0A85"/>
    <w:rsid w:val="00EF0ACF"/>
    <w:rsid w:val="00EF1076"/>
    <w:rsid w:val="00EF1249"/>
    <w:rsid w:val="00EF134F"/>
    <w:rsid w:val="00EF14AD"/>
    <w:rsid w:val="00EF162E"/>
    <w:rsid w:val="00EF16A6"/>
    <w:rsid w:val="00EF1B8A"/>
    <w:rsid w:val="00EF1DAB"/>
    <w:rsid w:val="00EF1EEC"/>
    <w:rsid w:val="00EF1FD1"/>
    <w:rsid w:val="00EF2030"/>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5E0"/>
    <w:rsid w:val="00EF4688"/>
    <w:rsid w:val="00EF481C"/>
    <w:rsid w:val="00EF4B86"/>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31"/>
    <w:rsid w:val="00F04488"/>
    <w:rsid w:val="00F048EE"/>
    <w:rsid w:val="00F0495E"/>
    <w:rsid w:val="00F04A8D"/>
    <w:rsid w:val="00F04C42"/>
    <w:rsid w:val="00F04C4B"/>
    <w:rsid w:val="00F04D6C"/>
    <w:rsid w:val="00F04DCA"/>
    <w:rsid w:val="00F04DDA"/>
    <w:rsid w:val="00F04E6A"/>
    <w:rsid w:val="00F05064"/>
    <w:rsid w:val="00F0512B"/>
    <w:rsid w:val="00F0524F"/>
    <w:rsid w:val="00F05586"/>
    <w:rsid w:val="00F05F5F"/>
    <w:rsid w:val="00F05F63"/>
    <w:rsid w:val="00F06083"/>
    <w:rsid w:val="00F060E6"/>
    <w:rsid w:val="00F069E9"/>
    <w:rsid w:val="00F06DD7"/>
    <w:rsid w:val="00F06E05"/>
    <w:rsid w:val="00F06F9D"/>
    <w:rsid w:val="00F06FFE"/>
    <w:rsid w:val="00F070B1"/>
    <w:rsid w:val="00F07171"/>
    <w:rsid w:val="00F07543"/>
    <w:rsid w:val="00F075FD"/>
    <w:rsid w:val="00F0760C"/>
    <w:rsid w:val="00F0761D"/>
    <w:rsid w:val="00F076C4"/>
    <w:rsid w:val="00F07735"/>
    <w:rsid w:val="00F10008"/>
    <w:rsid w:val="00F100E5"/>
    <w:rsid w:val="00F10221"/>
    <w:rsid w:val="00F104C2"/>
    <w:rsid w:val="00F1054B"/>
    <w:rsid w:val="00F108D0"/>
    <w:rsid w:val="00F10964"/>
    <w:rsid w:val="00F10A0C"/>
    <w:rsid w:val="00F10A58"/>
    <w:rsid w:val="00F111E4"/>
    <w:rsid w:val="00F11296"/>
    <w:rsid w:val="00F112D3"/>
    <w:rsid w:val="00F112DB"/>
    <w:rsid w:val="00F118AA"/>
    <w:rsid w:val="00F11A2E"/>
    <w:rsid w:val="00F11A97"/>
    <w:rsid w:val="00F11AC7"/>
    <w:rsid w:val="00F11D3A"/>
    <w:rsid w:val="00F12207"/>
    <w:rsid w:val="00F1258F"/>
    <w:rsid w:val="00F127B8"/>
    <w:rsid w:val="00F12E6F"/>
    <w:rsid w:val="00F13204"/>
    <w:rsid w:val="00F13292"/>
    <w:rsid w:val="00F13A53"/>
    <w:rsid w:val="00F13B04"/>
    <w:rsid w:val="00F13B71"/>
    <w:rsid w:val="00F13B73"/>
    <w:rsid w:val="00F14304"/>
    <w:rsid w:val="00F1448E"/>
    <w:rsid w:val="00F145F3"/>
    <w:rsid w:val="00F146F6"/>
    <w:rsid w:val="00F14770"/>
    <w:rsid w:val="00F14B4B"/>
    <w:rsid w:val="00F14C91"/>
    <w:rsid w:val="00F14CE4"/>
    <w:rsid w:val="00F14F7C"/>
    <w:rsid w:val="00F152B2"/>
    <w:rsid w:val="00F155B4"/>
    <w:rsid w:val="00F155CC"/>
    <w:rsid w:val="00F155ED"/>
    <w:rsid w:val="00F156F9"/>
    <w:rsid w:val="00F15834"/>
    <w:rsid w:val="00F15CDF"/>
    <w:rsid w:val="00F15DD5"/>
    <w:rsid w:val="00F16243"/>
    <w:rsid w:val="00F1690D"/>
    <w:rsid w:val="00F1696A"/>
    <w:rsid w:val="00F16A15"/>
    <w:rsid w:val="00F16ABD"/>
    <w:rsid w:val="00F16DE4"/>
    <w:rsid w:val="00F17176"/>
    <w:rsid w:val="00F17629"/>
    <w:rsid w:val="00F1789F"/>
    <w:rsid w:val="00F17AB6"/>
    <w:rsid w:val="00F17B8F"/>
    <w:rsid w:val="00F17D45"/>
    <w:rsid w:val="00F17E86"/>
    <w:rsid w:val="00F17FF5"/>
    <w:rsid w:val="00F20005"/>
    <w:rsid w:val="00F200FB"/>
    <w:rsid w:val="00F20494"/>
    <w:rsid w:val="00F20498"/>
    <w:rsid w:val="00F20688"/>
    <w:rsid w:val="00F20881"/>
    <w:rsid w:val="00F208FD"/>
    <w:rsid w:val="00F2096B"/>
    <w:rsid w:val="00F20CCB"/>
    <w:rsid w:val="00F20CD3"/>
    <w:rsid w:val="00F2106A"/>
    <w:rsid w:val="00F21178"/>
    <w:rsid w:val="00F212FC"/>
    <w:rsid w:val="00F21458"/>
    <w:rsid w:val="00F217DE"/>
    <w:rsid w:val="00F218DD"/>
    <w:rsid w:val="00F21968"/>
    <w:rsid w:val="00F219D7"/>
    <w:rsid w:val="00F21C19"/>
    <w:rsid w:val="00F21E3A"/>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5A"/>
    <w:rsid w:val="00F24715"/>
    <w:rsid w:val="00F24B8E"/>
    <w:rsid w:val="00F24DBA"/>
    <w:rsid w:val="00F24F76"/>
    <w:rsid w:val="00F2528D"/>
    <w:rsid w:val="00F2549A"/>
    <w:rsid w:val="00F2567F"/>
    <w:rsid w:val="00F25696"/>
    <w:rsid w:val="00F2594B"/>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472"/>
    <w:rsid w:val="00F334E3"/>
    <w:rsid w:val="00F3370C"/>
    <w:rsid w:val="00F33727"/>
    <w:rsid w:val="00F33F0F"/>
    <w:rsid w:val="00F340C1"/>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D2B"/>
    <w:rsid w:val="00F40D5B"/>
    <w:rsid w:val="00F40E2E"/>
    <w:rsid w:val="00F411A5"/>
    <w:rsid w:val="00F415F5"/>
    <w:rsid w:val="00F419D5"/>
    <w:rsid w:val="00F41E04"/>
    <w:rsid w:val="00F42001"/>
    <w:rsid w:val="00F423DD"/>
    <w:rsid w:val="00F42680"/>
    <w:rsid w:val="00F42AEF"/>
    <w:rsid w:val="00F42B16"/>
    <w:rsid w:val="00F42D64"/>
    <w:rsid w:val="00F4335A"/>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30A"/>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A02"/>
    <w:rsid w:val="00F47EA1"/>
    <w:rsid w:val="00F47EAA"/>
    <w:rsid w:val="00F47EEF"/>
    <w:rsid w:val="00F47F19"/>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5C"/>
    <w:rsid w:val="00F56C4C"/>
    <w:rsid w:val="00F56CED"/>
    <w:rsid w:val="00F56D64"/>
    <w:rsid w:val="00F57245"/>
    <w:rsid w:val="00F57446"/>
    <w:rsid w:val="00F57521"/>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FC0"/>
    <w:rsid w:val="00F63337"/>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3ED"/>
    <w:rsid w:val="00F6771E"/>
    <w:rsid w:val="00F678E0"/>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4665"/>
    <w:rsid w:val="00F74A81"/>
    <w:rsid w:val="00F74DAA"/>
    <w:rsid w:val="00F74E9F"/>
    <w:rsid w:val="00F74F9D"/>
    <w:rsid w:val="00F7535E"/>
    <w:rsid w:val="00F753B3"/>
    <w:rsid w:val="00F75542"/>
    <w:rsid w:val="00F75572"/>
    <w:rsid w:val="00F75A79"/>
    <w:rsid w:val="00F75C37"/>
    <w:rsid w:val="00F75D00"/>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0A9"/>
    <w:rsid w:val="00F813F8"/>
    <w:rsid w:val="00F814DE"/>
    <w:rsid w:val="00F81843"/>
    <w:rsid w:val="00F81EAE"/>
    <w:rsid w:val="00F820E6"/>
    <w:rsid w:val="00F82DE1"/>
    <w:rsid w:val="00F8304E"/>
    <w:rsid w:val="00F83146"/>
    <w:rsid w:val="00F833AF"/>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8A4"/>
    <w:rsid w:val="00F85D1A"/>
    <w:rsid w:val="00F85ECD"/>
    <w:rsid w:val="00F864A8"/>
    <w:rsid w:val="00F86506"/>
    <w:rsid w:val="00F865BE"/>
    <w:rsid w:val="00F86679"/>
    <w:rsid w:val="00F86DE3"/>
    <w:rsid w:val="00F86FFF"/>
    <w:rsid w:val="00F87826"/>
    <w:rsid w:val="00F87A2F"/>
    <w:rsid w:val="00F87FDE"/>
    <w:rsid w:val="00F90024"/>
    <w:rsid w:val="00F900A8"/>
    <w:rsid w:val="00F903B2"/>
    <w:rsid w:val="00F903D8"/>
    <w:rsid w:val="00F904EF"/>
    <w:rsid w:val="00F90911"/>
    <w:rsid w:val="00F90BF6"/>
    <w:rsid w:val="00F910D7"/>
    <w:rsid w:val="00F9159B"/>
    <w:rsid w:val="00F919B0"/>
    <w:rsid w:val="00F91B25"/>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480"/>
    <w:rsid w:val="00F93870"/>
    <w:rsid w:val="00F938FE"/>
    <w:rsid w:val="00F93956"/>
    <w:rsid w:val="00F93A23"/>
    <w:rsid w:val="00F93BBD"/>
    <w:rsid w:val="00F93D80"/>
    <w:rsid w:val="00F942FE"/>
    <w:rsid w:val="00F94312"/>
    <w:rsid w:val="00F94C10"/>
    <w:rsid w:val="00F94C8E"/>
    <w:rsid w:val="00F95186"/>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A0275"/>
    <w:rsid w:val="00FA046B"/>
    <w:rsid w:val="00FA04A8"/>
    <w:rsid w:val="00FA0B4E"/>
    <w:rsid w:val="00FA0C03"/>
    <w:rsid w:val="00FA10AC"/>
    <w:rsid w:val="00FA158E"/>
    <w:rsid w:val="00FA16E4"/>
    <w:rsid w:val="00FA1817"/>
    <w:rsid w:val="00FA1AD4"/>
    <w:rsid w:val="00FA1B11"/>
    <w:rsid w:val="00FA1BA9"/>
    <w:rsid w:val="00FA1D29"/>
    <w:rsid w:val="00FA1F38"/>
    <w:rsid w:val="00FA204F"/>
    <w:rsid w:val="00FA2269"/>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E9"/>
    <w:rsid w:val="00FA5B1B"/>
    <w:rsid w:val="00FA5C1F"/>
    <w:rsid w:val="00FA5F68"/>
    <w:rsid w:val="00FA613B"/>
    <w:rsid w:val="00FA6270"/>
    <w:rsid w:val="00FA6512"/>
    <w:rsid w:val="00FA6A76"/>
    <w:rsid w:val="00FA6AEE"/>
    <w:rsid w:val="00FA6D78"/>
    <w:rsid w:val="00FA7069"/>
    <w:rsid w:val="00FA71A3"/>
    <w:rsid w:val="00FA762B"/>
    <w:rsid w:val="00FA76FB"/>
    <w:rsid w:val="00FA77BB"/>
    <w:rsid w:val="00FA7878"/>
    <w:rsid w:val="00FA795A"/>
    <w:rsid w:val="00FA7BE2"/>
    <w:rsid w:val="00FB01A2"/>
    <w:rsid w:val="00FB0E0E"/>
    <w:rsid w:val="00FB10F6"/>
    <w:rsid w:val="00FB1803"/>
    <w:rsid w:val="00FB1812"/>
    <w:rsid w:val="00FB1B31"/>
    <w:rsid w:val="00FB1B8F"/>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439C"/>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45C"/>
    <w:rsid w:val="00FC0514"/>
    <w:rsid w:val="00FC051D"/>
    <w:rsid w:val="00FC0661"/>
    <w:rsid w:val="00FC07D2"/>
    <w:rsid w:val="00FC0BF2"/>
    <w:rsid w:val="00FC0E87"/>
    <w:rsid w:val="00FC0F8D"/>
    <w:rsid w:val="00FC1062"/>
    <w:rsid w:val="00FC118E"/>
    <w:rsid w:val="00FC1265"/>
    <w:rsid w:val="00FC12EB"/>
    <w:rsid w:val="00FC1410"/>
    <w:rsid w:val="00FC14DA"/>
    <w:rsid w:val="00FC1618"/>
    <w:rsid w:val="00FC1619"/>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A1"/>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300"/>
    <w:rsid w:val="00FD3483"/>
    <w:rsid w:val="00FD35A7"/>
    <w:rsid w:val="00FD3669"/>
    <w:rsid w:val="00FD37EC"/>
    <w:rsid w:val="00FD3B42"/>
    <w:rsid w:val="00FD3F78"/>
    <w:rsid w:val="00FD4136"/>
    <w:rsid w:val="00FD41B1"/>
    <w:rsid w:val="00FD41CE"/>
    <w:rsid w:val="00FD4241"/>
    <w:rsid w:val="00FD4523"/>
    <w:rsid w:val="00FD4601"/>
    <w:rsid w:val="00FD4828"/>
    <w:rsid w:val="00FD4F88"/>
    <w:rsid w:val="00FD505E"/>
    <w:rsid w:val="00FD52D9"/>
    <w:rsid w:val="00FD5481"/>
    <w:rsid w:val="00FD58CD"/>
    <w:rsid w:val="00FD598A"/>
    <w:rsid w:val="00FD5D84"/>
    <w:rsid w:val="00FD5E88"/>
    <w:rsid w:val="00FD5FE7"/>
    <w:rsid w:val="00FD6315"/>
    <w:rsid w:val="00FD679F"/>
    <w:rsid w:val="00FD688D"/>
    <w:rsid w:val="00FD68E1"/>
    <w:rsid w:val="00FD6B51"/>
    <w:rsid w:val="00FD6DCD"/>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4E"/>
    <w:rsid w:val="00FE0AC9"/>
    <w:rsid w:val="00FE0D77"/>
    <w:rsid w:val="00FE0E44"/>
    <w:rsid w:val="00FE123C"/>
    <w:rsid w:val="00FE124E"/>
    <w:rsid w:val="00FE13D2"/>
    <w:rsid w:val="00FE1744"/>
    <w:rsid w:val="00FE194A"/>
    <w:rsid w:val="00FE1C25"/>
    <w:rsid w:val="00FE1C9B"/>
    <w:rsid w:val="00FE1CB6"/>
    <w:rsid w:val="00FE1CE4"/>
    <w:rsid w:val="00FE1D15"/>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EA"/>
    <w:rsid w:val="00FE6C79"/>
    <w:rsid w:val="00FE6F14"/>
    <w:rsid w:val="00FE7219"/>
    <w:rsid w:val="00FE7381"/>
    <w:rsid w:val="00FE76CA"/>
    <w:rsid w:val="00FF0179"/>
    <w:rsid w:val="00FF0238"/>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7DF"/>
    <w:rsid w:val="00FF29AB"/>
    <w:rsid w:val="00FF2A8A"/>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500D"/>
    <w:rsid w:val="00FF5307"/>
    <w:rsid w:val="00FF57D0"/>
    <w:rsid w:val="00FF5806"/>
    <w:rsid w:val="00FF5812"/>
    <w:rsid w:val="00FF58CC"/>
    <w:rsid w:val="00FF595C"/>
    <w:rsid w:val="00FF605E"/>
    <w:rsid w:val="00FF62A7"/>
    <w:rsid w:val="00FF62C1"/>
    <w:rsid w:val="00FF6594"/>
    <w:rsid w:val="00FF65F2"/>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C25"/>
    <w:rsid w:val="00FF7CC6"/>
    <w:rsid w:val="00FF7D1C"/>
    <w:rsid w:val="00FF7EEE"/>
    <w:rsid w:val="00FF7FAE"/>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1A5693D0-D72A-4091-A00B-9C98A7EF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8"/>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10"/>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nhideWhenUsed/>
    <w:qFormat/>
    <w:rsid w:val="004955BE"/>
    <w:rPr>
      <w:sz w:val="20"/>
      <w:szCs w:val="20"/>
    </w:rPr>
  </w:style>
  <w:style w:type="character" w:customStyle="1" w:styleId="CommentTextChar">
    <w:name w:val="Comment Text Char"/>
    <w:basedOn w:val="DefaultParagraphFont"/>
    <w:link w:val="CommentText"/>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4"/>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25"/>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image" Target="media/image6.jpg"/><Relationship Id="rId3" Type="http://schemas.openxmlformats.org/officeDocument/2006/relationships/customXml" Target="../customXml/item3.xml"/><Relationship Id="rId21" Type="http://schemas.openxmlformats.org/officeDocument/2006/relationships/chart" Target="charts/chart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itrus\wrd-qr_beijing_silkroad-ml\chenxih\Xnode_CSF_Ant_Scalability_2025Jan\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SGCS loss relative to specific model design (case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Sheet1!$C$7</c:f>
              <c:strCache>
                <c:ptCount val="1"/>
                <c:pt idx="0">
                  <c:v>Case 1, Alt1</c:v>
                </c:pt>
              </c:strCache>
            </c:strRef>
          </c:tx>
          <c:spPr>
            <a:solidFill>
              <a:schemeClr val="accent1"/>
            </a:solidFill>
            <a:ln>
              <a:noFill/>
            </a:ln>
            <a:effectLst/>
          </c:spPr>
          <c:invertIfNegative val="0"/>
          <c:cat>
            <c:strRef>
              <c:f>Sheet1!$A$8:$A$10</c:f>
              <c:strCache>
                <c:ptCount val="3"/>
                <c:pt idx="0">
                  <c:v>2x8</c:v>
                </c:pt>
                <c:pt idx="1">
                  <c:v>4x4</c:v>
                </c:pt>
                <c:pt idx="2">
                  <c:v>2x4</c:v>
                </c:pt>
              </c:strCache>
            </c:strRef>
          </c:cat>
          <c:val>
            <c:numRef>
              <c:f>Sheet1!$C$8:$C$10</c:f>
              <c:numCache>
                <c:formatCode>0.00%</c:formatCode>
                <c:ptCount val="3"/>
                <c:pt idx="0">
                  <c:v>-6.1576354679803002E-3</c:v>
                </c:pt>
                <c:pt idx="1">
                  <c:v>-1.2285012285012161E-2</c:v>
                </c:pt>
                <c:pt idx="2">
                  <c:v>-1.5116279069767456E-2</c:v>
                </c:pt>
              </c:numCache>
            </c:numRef>
          </c:val>
          <c:extLst>
            <c:ext xmlns:c16="http://schemas.microsoft.com/office/drawing/2014/chart" uri="{C3380CC4-5D6E-409C-BE32-E72D297353CC}">
              <c16:uniqueId val="{00000000-B1EC-43F1-B021-D92EBC0E7A83}"/>
            </c:ext>
          </c:extLst>
        </c:ser>
        <c:ser>
          <c:idx val="1"/>
          <c:order val="1"/>
          <c:tx>
            <c:strRef>
              <c:f>Sheet1!$D$7</c:f>
              <c:strCache>
                <c:ptCount val="1"/>
                <c:pt idx="0">
                  <c:v>Case 1, Alt2, 2x4 padded to 2x8</c:v>
                </c:pt>
              </c:strCache>
            </c:strRef>
          </c:tx>
          <c:spPr>
            <a:solidFill>
              <a:schemeClr val="accent2"/>
            </a:solidFill>
            <a:ln>
              <a:noFill/>
            </a:ln>
            <a:effectLst/>
          </c:spPr>
          <c:invertIfNegative val="0"/>
          <c:cat>
            <c:strRef>
              <c:f>Sheet1!$A$8:$A$10</c:f>
              <c:strCache>
                <c:ptCount val="3"/>
                <c:pt idx="0">
                  <c:v>2x8</c:v>
                </c:pt>
                <c:pt idx="1">
                  <c:v>4x4</c:v>
                </c:pt>
                <c:pt idx="2">
                  <c:v>2x4</c:v>
                </c:pt>
              </c:strCache>
            </c:strRef>
          </c:cat>
          <c:val>
            <c:numRef>
              <c:f>Sheet1!$D$8:$D$10</c:f>
              <c:numCache>
                <c:formatCode>0.00%</c:formatCode>
                <c:ptCount val="3"/>
                <c:pt idx="0">
                  <c:v>-1.8472906403940902E-2</c:v>
                </c:pt>
                <c:pt idx="1">
                  <c:v>-1.9656019656019538E-2</c:v>
                </c:pt>
                <c:pt idx="2">
                  <c:v>-2.2093023255813974E-2</c:v>
                </c:pt>
              </c:numCache>
            </c:numRef>
          </c:val>
          <c:extLst>
            <c:ext xmlns:c16="http://schemas.microsoft.com/office/drawing/2014/chart" uri="{C3380CC4-5D6E-409C-BE32-E72D297353CC}">
              <c16:uniqueId val="{00000001-B1EC-43F1-B021-D92EBC0E7A83}"/>
            </c:ext>
          </c:extLst>
        </c:ser>
        <c:ser>
          <c:idx val="2"/>
          <c:order val="2"/>
          <c:tx>
            <c:strRef>
              <c:f>Sheet1!$E$7</c:f>
              <c:strCache>
                <c:ptCount val="1"/>
                <c:pt idx="0">
                  <c:v>Case 1, Alt2, 2x4 padded to 4x4</c:v>
                </c:pt>
              </c:strCache>
            </c:strRef>
          </c:tx>
          <c:spPr>
            <a:solidFill>
              <a:schemeClr val="accent3"/>
            </a:solidFill>
            <a:ln>
              <a:noFill/>
            </a:ln>
            <a:effectLst/>
          </c:spPr>
          <c:invertIfNegative val="0"/>
          <c:cat>
            <c:strRef>
              <c:f>Sheet1!$A$8:$A$10</c:f>
              <c:strCache>
                <c:ptCount val="3"/>
                <c:pt idx="0">
                  <c:v>2x8</c:v>
                </c:pt>
                <c:pt idx="1">
                  <c:v>4x4</c:v>
                </c:pt>
                <c:pt idx="2">
                  <c:v>2x4</c:v>
                </c:pt>
              </c:strCache>
            </c:strRef>
          </c:cat>
          <c:val>
            <c:numRef>
              <c:f>Sheet1!$E$8:$E$10</c:f>
              <c:numCache>
                <c:formatCode>0.00%</c:formatCode>
                <c:ptCount val="3"/>
                <c:pt idx="0">
                  <c:v>-1.9704433497536963E-2</c:v>
                </c:pt>
                <c:pt idx="1">
                  <c:v>-2.0884520884520769E-2</c:v>
                </c:pt>
                <c:pt idx="2">
                  <c:v>-2.4418604651162811E-2</c:v>
                </c:pt>
              </c:numCache>
            </c:numRef>
          </c:val>
          <c:extLst>
            <c:ext xmlns:c16="http://schemas.microsoft.com/office/drawing/2014/chart" uri="{C3380CC4-5D6E-409C-BE32-E72D297353CC}">
              <c16:uniqueId val="{00000002-B1EC-43F1-B021-D92EBC0E7A83}"/>
            </c:ext>
          </c:extLst>
        </c:ser>
        <c:ser>
          <c:idx val="3"/>
          <c:order val="3"/>
          <c:tx>
            <c:strRef>
              <c:f>Sheet1!$F$7</c:f>
              <c:strCache>
                <c:ptCount val="1"/>
                <c:pt idx="0">
                  <c:v>Case 1, Alt1+Alt2, 2x4 padded to 2x8</c:v>
                </c:pt>
              </c:strCache>
            </c:strRef>
          </c:tx>
          <c:spPr>
            <a:solidFill>
              <a:schemeClr val="accent4"/>
            </a:solidFill>
            <a:ln>
              <a:noFill/>
            </a:ln>
            <a:effectLst/>
          </c:spPr>
          <c:invertIfNegative val="0"/>
          <c:cat>
            <c:strRef>
              <c:f>Sheet1!$A$8:$A$10</c:f>
              <c:strCache>
                <c:ptCount val="3"/>
                <c:pt idx="0">
                  <c:v>2x8</c:v>
                </c:pt>
                <c:pt idx="1">
                  <c:v>4x4</c:v>
                </c:pt>
                <c:pt idx="2">
                  <c:v>2x4</c:v>
                </c:pt>
              </c:strCache>
            </c:strRef>
          </c:cat>
          <c:val>
            <c:numRef>
              <c:f>Sheet1!$F$8:$F$10</c:f>
              <c:numCache>
                <c:formatCode>0.00%</c:formatCode>
                <c:ptCount val="3"/>
                <c:pt idx="0">
                  <c:v>-2.8325123152709384E-2</c:v>
                </c:pt>
                <c:pt idx="1">
                  <c:v>-3.5626535626535526E-2</c:v>
                </c:pt>
                <c:pt idx="2">
                  <c:v>-3.6046511627907007E-2</c:v>
                </c:pt>
              </c:numCache>
            </c:numRef>
          </c:val>
          <c:extLst>
            <c:ext xmlns:c16="http://schemas.microsoft.com/office/drawing/2014/chart" uri="{C3380CC4-5D6E-409C-BE32-E72D297353CC}">
              <c16:uniqueId val="{00000003-B1EC-43F1-B021-D92EBC0E7A83}"/>
            </c:ext>
          </c:extLst>
        </c:ser>
        <c:ser>
          <c:idx val="4"/>
          <c:order val="4"/>
          <c:tx>
            <c:strRef>
              <c:f>Sheet1!$G$7</c:f>
              <c:strCache>
                <c:ptCount val="1"/>
                <c:pt idx="0">
                  <c:v>Case 1, Alt1+Alt2, 2x4 padded to 4x4</c:v>
                </c:pt>
              </c:strCache>
            </c:strRef>
          </c:tx>
          <c:spPr>
            <a:solidFill>
              <a:schemeClr val="accent5"/>
            </a:solidFill>
            <a:ln>
              <a:noFill/>
            </a:ln>
            <a:effectLst/>
          </c:spPr>
          <c:invertIfNegative val="0"/>
          <c:cat>
            <c:strRef>
              <c:f>Sheet1!$A$8:$A$10</c:f>
              <c:strCache>
                <c:ptCount val="3"/>
                <c:pt idx="0">
                  <c:v>2x8</c:v>
                </c:pt>
                <c:pt idx="1">
                  <c:v>4x4</c:v>
                </c:pt>
                <c:pt idx="2">
                  <c:v>2x4</c:v>
                </c:pt>
              </c:strCache>
            </c:strRef>
          </c:cat>
          <c:val>
            <c:numRef>
              <c:f>Sheet1!$G$8:$G$10</c:f>
              <c:numCache>
                <c:formatCode>0.00%</c:formatCode>
                <c:ptCount val="3"/>
                <c:pt idx="0">
                  <c:v>-2.9556650246305442E-2</c:v>
                </c:pt>
                <c:pt idx="1">
                  <c:v>-2.5798525798525686E-2</c:v>
                </c:pt>
                <c:pt idx="2">
                  <c:v>-3.0232558139534911E-2</c:v>
                </c:pt>
              </c:numCache>
            </c:numRef>
          </c:val>
          <c:extLst>
            <c:ext xmlns:c16="http://schemas.microsoft.com/office/drawing/2014/chart" uri="{C3380CC4-5D6E-409C-BE32-E72D297353CC}">
              <c16:uniqueId val="{00000004-B1EC-43F1-B021-D92EBC0E7A83}"/>
            </c:ext>
          </c:extLst>
        </c:ser>
        <c:dLbls>
          <c:showLegendKey val="0"/>
          <c:showVal val="0"/>
          <c:showCatName val="0"/>
          <c:showSerName val="0"/>
          <c:showPercent val="0"/>
          <c:showBubbleSize val="0"/>
        </c:dLbls>
        <c:gapWidth val="219"/>
        <c:overlap val="-27"/>
        <c:axId val="707708015"/>
        <c:axId val="707707055"/>
        <c:extLst>
          <c:ext xmlns:c15="http://schemas.microsoft.com/office/drawing/2012/chart" uri="{02D57815-91ED-43cb-92C2-25804820EDAC}">
            <c15:filteredBarSeries>
              <c15:ser>
                <c:idx val="5"/>
                <c:order val="5"/>
                <c:tx>
                  <c:strRef>
                    <c:extLst>
                      <c:ext uri="{02D57815-91ED-43cb-92C2-25804820EDAC}">
                        <c15:formulaRef>
                          <c15:sqref>Sheet1!$H$7</c15:sqref>
                        </c15:formulaRef>
                      </c:ext>
                    </c:extLst>
                    <c:strCache>
                      <c:ptCount val="1"/>
                    </c:strCache>
                  </c:strRef>
                </c:tx>
                <c:spPr>
                  <a:solidFill>
                    <a:schemeClr val="accent6"/>
                  </a:solidFill>
                  <a:ln>
                    <a:noFill/>
                  </a:ln>
                  <a:effectLst/>
                </c:spPr>
                <c:invertIfNegative val="0"/>
                <c:cat>
                  <c:strRef>
                    <c:extLst>
                      <c:ext uri="{02D57815-91ED-43cb-92C2-25804820EDAC}">
                        <c15:formulaRef>
                          <c15:sqref>Sheet1!$A$8:$A$10</c15:sqref>
                        </c15:formulaRef>
                      </c:ext>
                    </c:extLst>
                    <c:strCache>
                      <c:ptCount val="3"/>
                      <c:pt idx="0">
                        <c:v>2x8</c:v>
                      </c:pt>
                      <c:pt idx="1">
                        <c:v>4x4</c:v>
                      </c:pt>
                      <c:pt idx="2">
                        <c:v>2x4</c:v>
                      </c:pt>
                    </c:strCache>
                  </c:strRef>
                </c:cat>
                <c:val>
                  <c:numRef>
                    <c:extLst>
                      <c:ext uri="{02D57815-91ED-43cb-92C2-25804820EDAC}">
                        <c15:formulaRef>
                          <c15:sqref>Sheet1!$H$8:$H$10</c15:sqref>
                        </c15:formulaRef>
                      </c:ext>
                    </c:extLst>
                    <c:numCache>
                      <c:formatCode>General</c:formatCode>
                      <c:ptCount val="3"/>
                    </c:numCache>
                  </c:numRef>
                </c:val>
                <c:extLst>
                  <c:ext xmlns:c16="http://schemas.microsoft.com/office/drawing/2014/chart" uri="{C3380CC4-5D6E-409C-BE32-E72D297353CC}">
                    <c16:uniqueId val="{00000005-B1EC-43F1-B021-D92EBC0E7A83}"/>
                  </c:ext>
                </c:extLst>
              </c15:ser>
            </c15:filteredBarSeries>
          </c:ext>
        </c:extLst>
      </c:barChart>
      <c:catAx>
        <c:axId val="7077080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7707055"/>
        <c:crosses val="autoZero"/>
        <c:auto val="1"/>
        <c:lblAlgn val="ctr"/>
        <c:lblOffset val="100"/>
        <c:noMultiLvlLbl val="0"/>
      </c:catAx>
      <c:valAx>
        <c:axId val="70770705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7708015"/>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rate=0.02'!$N$2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rate=0.02'!$O$2:$Y$2</c:f>
              <c:numCache>
                <c:formatCode>General</c:formatCode>
                <c:ptCount val="11"/>
                <c:pt idx="0">
                  <c:v>0.20522222222222197</c:v>
                </c:pt>
                <c:pt idx="1">
                  <c:v>0.37555555555555498</c:v>
                </c:pt>
                <c:pt idx="2">
                  <c:v>0.52</c:v>
                </c:pt>
                <c:pt idx="3">
                  <c:v>0.63600000000000001</c:v>
                </c:pt>
                <c:pt idx="4">
                  <c:v>0.77402135231316693</c:v>
                </c:pt>
                <c:pt idx="5">
                  <c:v>0.81777777777777794</c:v>
                </c:pt>
                <c:pt idx="6">
                  <c:v>0.87466666666666704</c:v>
                </c:pt>
                <c:pt idx="7">
                  <c:v>0.91277258566978192</c:v>
                </c:pt>
                <c:pt idx="8">
                  <c:v>0.93594306049822062</c:v>
                </c:pt>
                <c:pt idx="9">
                  <c:v>0.93599999999999994</c:v>
                </c:pt>
                <c:pt idx="10">
                  <c:v>0.96888888888888891</c:v>
                </c:pt>
              </c:numCache>
            </c:numRef>
          </c:val>
          <c:smooth val="0"/>
          <c:extLst>
            <c:ext xmlns:c16="http://schemas.microsoft.com/office/drawing/2014/chart" uri="{C3380CC4-5D6E-409C-BE32-E72D297353CC}">
              <c16:uniqueId val="{00000000-E787-4C6A-9C15-BBD7FAEE4200}"/>
            </c:ext>
          </c:extLst>
        </c:ser>
        <c:ser>
          <c:idx val="1"/>
          <c:order val="1"/>
          <c:tx>
            <c:strRef>
              <c:f>'FA rate=0.02'!$N$3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rate=0.02'!$O$3:$Y$3</c:f>
              <c:numCache>
                <c:formatCode>General</c:formatCode>
                <c:ptCount val="11"/>
                <c:pt idx="0">
                  <c:v>0.21077777777777795</c:v>
                </c:pt>
                <c:pt idx="1">
                  <c:v>0.38355555555555498</c:v>
                </c:pt>
                <c:pt idx="2">
                  <c:v>0.53600000000000003</c:v>
                </c:pt>
                <c:pt idx="3">
                  <c:v>0.66666666666666696</c:v>
                </c:pt>
                <c:pt idx="4">
                  <c:v>0.76868327402135206</c:v>
                </c:pt>
                <c:pt idx="5">
                  <c:v>0.81555555555555603</c:v>
                </c:pt>
                <c:pt idx="6">
                  <c:v>0.872</c:v>
                </c:pt>
                <c:pt idx="7">
                  <c:v>0.91588785046728971</c:v>
                </c:pt>
                <c:pt idx="8">
                  <c:v>0.94306049822064064</c:v>
                </c:pt>
                <c:pt idx="9">
                  <c:v>0.95199999999999996</c:v>
                </c:pt>
                <c:pt idx="10">
                  <c:v>0.96888888888888891</c:v>
                </c:pt>
              </c:numCache>
            </c:numRef>
          </c:val>
          <c:smooth val="0"/>
          <c:extLst>
            <c:ext xmlns:c16="http://schemas.microsoft.com/office/drawing/2014/chart" uri="{C3380CC4-5D6E-409C-BE32-E72D297353CC}">
              <c16:uniqueId val="{00000001-E787-4C6A-9C15-BBD7FAEE4200}"/>
            </c:ext>
          </c:extLst>
        </c:ser>
        <c:ser>
          <c:idx val="2"/>
          <c:order val="2"/>
          <c:tx>
            <c:strRef>
              <c:f>'FA rate=0.02'!$N$4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rate=0.02'!$O$4:$Y$4</c:f>
              <c:numCache>
                <c:formatCode>General</c:formatCode>
                <c:ptCount val="11"/>
                <c:pt idx="0">
                  <c:v>0.240222222222222</c:v>
                </c:pt>
                <c:pt idx="1">
                  <c:v>0.44666666666666699</c:v>
                </c:pt>
                <c:pt idx="2">
                  <c:v>0.59733333333333305</c:v>
                </c:pt>
                <c:pt idx="3">
                  <c:v>0.72133333333333294</c:v>
                </c:pt>
                <c:pt idx="4">
                  <c:v>0.82028469750889699</c:v>
                </c:pt>
                <c:pt idx="5">
                  <c:v>0.87777777777777799</c:v>
                </c:pt>
                <c:pt idx="6">
                  <c:v>0.89600000000000002</c:v>
                </c:pt>
                <c:pt idx="7">
                  <c:v>0.95950155763239875</c:v>
                </c:pt>
                <c:pt idx="8">
                  <c:v>0.96085409252669041</c:v>
                </c:pt>
                <c:pt idx="9">
                  <c:v>0.97599999999999998</c:v>
                </c:pt>
                <c:pt idx="10">
                  <c:v>0.97777777777777786</c:v>
                </c:pt>
              </c:numCache>
            </c:numRef>
          </c:val>
          <c:smooth val="0"/>
          <c:extLst>
            <c:ext xmlns:c16="http://schemas.microsoft.com/office/drawing/2014/chart" uri="{C3380CC4-5D6E-409C-BE32-E72D297353CC}">
              <c16:uniqueId val="{00000002-E787-4C6A-9C15-BBD7FAEE4200}"/>
            </c:ext>
          </c:extLst>
        </c:ser>
        <c:ser>
          <c:idx val="3"/>
          <c:order val="3"/>
          <c:tx>
            <c:strRef>
              <c:f>'FA rate=0.02'!$N$5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rate=0.02'!$O$5:$Y$5</c:f>
              <c:numCache>
                <c:formatCode>General</c:formatCode>
                <c:ptCount val="11"/>
                <c:pt idx="0">
                  <c:v>0.21511111111111103</c:v>
                </c:pt>
                <c:pt idx="1">
                  <c:v>0.39644444444444404</c:v>
                </c:pt>
                <c:pt idx="2">
                  <c:v>0.54577777777777792</c:v>
                </c:pt>
                <c:pt idx="3">
                  <c:v>0.67466666666666697</c:v>
                </c:pt>
                <c:pt idx="4">
                  <c:v>0.80782918149466199</c:v>
                </c:pt>
                <c:pt idx="5">
                  <c:v>0.83333333333333304</c:v>
                </c:pt>
                <c:pt idx="6">
                  <c:v>0.88</c:v>
                </c:pt>
                <c:pt idx="7">
                  <c:v>0.93457943925233655</c:v>
                </c:pt>
                <c:pt idx="8">
                  <c:v>0.94306049822064064</c:v>
                </c:pt>
                <c:pt idx="9">
                  <c:v>0.96</c:v>
                </c:pt>
                <c:pt idx="10">
                  <c:v>0.96888888888888891</c:v>
                </c:pt>
              </c:numCache>
            </c:numRef>
          </c:val>
          <c:smooth val="0"/>
          <c:extLst>
            <c:ext xmlns:c16="http://schemas.microsoft.com/office/drawing/2014/chart" uri="{C3380CC4-5D6E-409C-BE32-E72D297353CC}">
              <c16:uniqueId val="{00000003-E787-4C6A-9C15-BBD7FAEE4200}"/>
            </c:ext>
          </c:extLst>
        </c:ser>
        <c:ser>
          <c:idx val="4"/>
          <c:order val="4"/>
          <c:tx>
            <c:strRef>
              <c:f>'FA rate=0.02'!$N$6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rate=0.02'!$O$6:$Y$6</c:f>
              <c:numCache>
                <c:formatCode>General</c:formatCode>
                <c:ptCount val="11"/>
                <c:pt idx="0">
                  <c:v>0.21199999999999997</c:v>
                </c:pt>
                <c:pt idx="1">
                  <c:v>0.38888888888888895</c:v>
                </c:pt>
                <c:pt idx="2">
                  <c:v>0.53688888888888897</c:v>
                </c:pt>
                <c:pt idx="3">
                  <c:v>0.68266666666666698</c:v>
                </c:pt>
                <c:pt idx="4">
                  <c:v>0.79893238434163694</c:v>
                </c:pt>
                <c:pt idx="5">
                  <c:v>0.83777777777777795</c:v>
                </c:pt>
                <c:pt idx="6">
                  <c:v>0.88533333333333297</c:v>
                </c:pt>
                <c:pt idx="7">
                  <c:v>0.9190031152647975</c:v>
                </c:pt>
                <c:pt idx="8">
                  <c:v>0.9537366548042705</c:v>
                </c:pt>
                <c:pt idx="9">
                  <c:v>0.95199999999999996</c:v>
                </c:pt>
                <c:pt idx="10">
                  <c:v>0.96888888888888891</c:v>
                </c:pt>
              </c:numCache>
            </c:numRef>
          </c:val>
          <c:smooth val="0"/>
          <c:extLst>
            <c:ext xmlns:c16="http://schemas.microsoft.com/office/drawing/2014/chart" uri="{C3380CC4-5D6E-409C-BE32-E72D297353CC}">
              <c16:uniqueId val="{00000004-E787-4C6A-9C15-BBD7FAEE4200}"/>
            </c:ext>
          </c:extLst>
        </c:ser>
        <c:dLbls>
          <c:showLegendKey val="0"/>
          <c:showVal val="0"/>
          <c:showCatName val="0"/>
          <c:showSerName val="0"/>
          <c:showPercent val="0"/>
          <c:showBubbleSize val="0"/>
        </c:dLbls>
        <c:marker val="1"/>
        <c:smooth val="0"/>
        <c:axId val="1084324192"/>
        <c:axId val="1084331872"/>
      </c:lineChart>
      <c:catAx>
        <c:axId val="1084324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31872"/>
        <c:crosses val="autoZero"/>
        <c:auto val="1"/>
        <c:lblAlgn val="ctr"/>
        <c:lblOffset val="100"/>
        <c:noMultiLvlLbl val="0"/>
      </c:catAx>
      <c:valAx>
        <c:axId val="1084331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4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rate=0.05'!$O$2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rate=0.05'!$P$2:$Z$2</c:f>
              <c:numCache>
                <c:formatCode>General</c:formatCode>
                <c:ptCount val="11"/>
                <c:pt idx="0">
                  <c:v>0.26022222222222202</c:v>
                </c:pt>
                <c:pt idx="1">
                  <c:v>0.46533333333333304</c:v>
                </c:pt>
                <c:pt idx="2">
                  <c:v>0.59733333333333305</c:v>
                </c:pt>
                <c:pt idx="3">
                  <c:v>0.74933333333333296</c:v>
                </c:pt>
                <c:pt idx="4">
                  <c:v>0.82384341637010694</c:v>
                </c:pt>
                <c:pt idx="5">
                  <c:v>0.85555555555555607</c:v>
                </c:pt>
                <c:pt idx="6">
                  <c:v>0.89066666666666694</c:v>
                </c:pt>
                <c:pt idx="7">
                  <c:v>0.9470404984423676</c:v>
                </c:pt>
                <c:pt idx="8">
                  <c:v>0.96085409252669041</c:v>
                </c:pt>
                <c:pt idx="9">
                  <c:v>0.97599999999999998</c:v>
                </c:pt>
                <c:pt idx="10">
                  <c:v>0.96888888888888891</c:v>
                </c:pt>
              </c:numCache>
            </c:numRef>
          </c:val>
          <c:smooth val="0"/>
          <c:extLst>
            <c:ext xmlns:c16="http://schemas.microsoft.com/office/drawing/2014/chart" uri="{C3380CC4-5D6E-409C-BE32-E72D297353CC}">
              <c16:uniqueId val="{00000000-8CDD-40CB-AA91-C4AA50FEE020}"/>
            </c:ext>
          </c:extLst>
        </c:ser>
        <c:ser>
          <c:idx val="1"/>
          <c:order val="1"/>
          <c:tx>
            <c:strRef>
              <c:f>'FA rate=0.05'!$O$3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rate=0.05'!$P$3:$Z$3</c:f>
              <c:numCache>
                <c:formatCode>General</c:formatCode>
                <c:ptCount val="11"/>
                <c:pt idx="0">
                  <c:v>0.25577777777777799</c:v>
                </c:pt>
                <c:pt idx="1">
                  <c:v>0.47377777777777796</c:v>
                </c:pt>
                <c:pt idx="2">
                  <c:v>0.61777777777777798</c:v>
                </c:pt>
                <c:pt idx="3">
                  <c:v>0.752</c:v>
                </c:pt>
                <c:pt idx="4">
                  <c:v>0.83096085409252707</c:v>
                </c:pt>
                <c:pt idx="5">
                  <c:v>0.87333333333333296</c:v>
                </c:pt>
                <c:pt idx="6">
                  <c:v>0.90666666666666673</c:v>
                </c:pt>
                <c:pt idx="7">
                  <c:v>0.95015576323987538</c:v>
                </c:pt>
                <c:pt idx="8">
                  <c:v>0.9537366548042705</c:v>
                </c:pt>
                <c:pt idx="9">
                  <c:v>0.97199999999999998</c:v>
                </c:pt>
                <c:pt idx="10">
                  <c:v>0.96888888888888891</c:v>
                </c:pt>
              </c:numCache>
            </c:numRef>
          </c:val>
          <c:smooth val="0"/>
          <c:extLst>
            <c:ext xmlns:c16="http://schemas.microsoft.com/office/drawing/2014/chart" uri="{C3380CC4-5D6E-409C-BE32-E72D297353CC}">
              <c16:uniqueId val="{00000001-8CDD-40CB-AA91-C4AA50FEE020}"/>
            </c:ext>
          </c:extLst>
        </c:ser>
        <c:ser>
          <c:idx val="2"/>
          <c:order val="2"/>
          <c:tx>
            <c:strRef>
              <c:f>'FA rate=0.05'!$O$4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rate=0.05'!$P$4:$Z$4</c:f>
              <c:numCache>
                <c:formatCode>General</c:formatCode>
                <c:ptCount val="11"/>
                <c:pt idx="0">
                  <c:v>0.29288888888888898</c:v>
                </c:pt>
                <c:pt idx="1">
                  <c:v>0.52044444444444404</c:v>
                </c:pt>
                <c:pt idx="2">
                  <c:v>0.69511111111111101</c:v>
                </c:pt>
                <c:pt idx="3">
                  <c:v>0.79066666666666696</c:v>
                </c:pt>
                <c:pt idx="4">
                  <c:v>0.86298932384341598</c:v>
                </c:pt>
                <c:pt idx="5">
                  <c:v>0.91555555555555546</c:v>
                </c:pt>
                <c:pt idx="6">
                  <c:v>0.93333333333333335</c:v>
                </c:pt>
                <c:pt idx="7">
                  <c:v>0.96261682242990654</c:v>
                </c:pt>
                <c:pt idx="8">
                  <c:v>0.97153024911032027</c:v>
                </c:pt>
                <c:pt idx="9">
                  <c:v>0.98799999999999999</c:v>
                </c:pt>
                <c:pt idx="10">
                  <c:v>0.98666666666666669</c:v>
                </c:pt>
              </c:numCache>
            </c:numRef>
          </c:val>
          <c:smooth val="0"/>
          <c:extLst>
            <c:ext xmlns:c16="http://schemas.microsoft.com/office/drawing/2014/chart" uri="{C3380CC4-5D6E-409C-BE32-E72D297353CC}">
              <c16:uniqueId val="{00000002-8CDD-40CB-AA91-C4AA50FEE020}"/>
            </c:ext>
          </c:extLst>
        </c:ser>
        <c:ser>
          <c:idx val="3"/>
          <c:order val="3"/>
          <c:tx>
            <c:strRef>
              <c:f>'FA rate=0.05'!$O$5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rate=0.05'!$P$5:$Z$5</c:f>
              <c:numCache>
                <c:formatCode>General</c:formatCode>
                <c:ptCount val="11"/>
                <c:pt idx="0">
                  <c:v>0.27022222222222203</c:v>
                </c:pt>
                <c:pt idx="1">
                  <c:v>0.476444444444444</c:v>
                </c:pt>
                <c:pt idx="2">
                  <c:v>0.62311111111111095</c:v>
                </c:pt>
                <c:pt idx="3">
                  <c:v>0.76800000000000002</c:v>
                </c:pt>
                <c:pt idx="4">
                  <c:v>0.83451957295373702</c:v>
                </c:pt>
                <c:pt idx="5">
                  <c:v>0.87555555555555598</c:v>
                </c:pt>
                <c:pt idx="6">
                  <c:v>0.90133333333333332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3-8CDD-40CB-AA91-C4AA50FEE020}"/>
            </c:ext>
          </c:extLst>
        </c:ser>
        <c:ser>
          <c:idx val="4"/>
          <c:order val="4"/>
          <c:tx>
            <c:strRef>
              <c:f>'FA rate=0.05'!$O$6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rate=0.05'!$P$6:$Z$6</c:f>
              <c:numCache>
                <c:formatCode>General</c:formatCode>
                <c:ptCount val="11"/>
                <c:pt idx="0">
                  <c:v>0.26866666666666705</c:v>
                </c:pt>
                <c:pt idx="1">
                  <c:v>0.47822222222222199</c:v>
                </c:pt>
                <c:pt idx="2">
                  <c:v>0.624</c:v>
                </c:pt>
                <c:pt idx="3">
                  <c:v>0.76266666666666705</c:v>
                </c:pt>
                <c:pt idx="4">
                  <c:v>0.83807829181494697</c:v>
                </c:pt>
                <c:pt idx="5">
                  <c:v>0.87777777777777799</c:v>
                </c:pt>
                <c:pt idx="6">
                  <c:v>0.89600000000000002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4-8CDD-40CB-AA91-C4AA50FEE020}"/>
            </c:ext>
          </c:extLst>
        </c:ser>
        <c:dLbls>
          <c:showLegendKey val="0"/>
          <c:showVal val="0"/>
          <c:showCatName val="0"/>
          <c:showSerName val="0"/>
          <c:showPercent val="0"/>
          <c:showBubbleSize val="0"/>
        </c:dLbls>
        <c:marker val="1"/>
        <c:smooth val="0"/>
        <c:axId val="1084329472"/>
        <c:axId val="1084344352"/>
      </c:lineChart>
      <c:catAx>
        <c:axId val="108432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44352"/>
        <c:crosses val="autoZero"/>
        <c:auto val="1"/>
        <c:lblAlgn val="ctr"/>
        <c:lblOffset val="100"/>
        <c:noMultiLvlLbl val="0"/>
      </c:catAx>
      <c:valAx>
        <c:axId val="108434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Detection probability</a:t>
            </a:r>
            <a:r>
              <a:rPr lang="en-US" baseline="0"/>
              <a:t> with false-alarm rate 10%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rate=0.1'!$O$2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rate=0.1'!$P$2:$Z$2</c:f>
              <c:numCache>
                <c:formatCode>General</c:formatCode>
                <c:ptCount val="11"/>
                <c:pt idx="0">
                  <c:v>0.31644444444444397</c:v>
                </c:pt>
                <c:pt idx="1">
                  <c:v>0.54088888888888897</c:v>
                </c:pt>
                <c:pt idx="2">
                  <c:v>0.70399999999999996</c:v>
                </c:pt>
                <c:pt idx="3">
                  <c:v>0.80266666666666697</c:v>
                </c:pt>
                <c:pt idx="4">
                  <c:v>0.85765124555160099</c:v>
                </c:pt>
                <c:pt idx="5">
                  <c:v>0.88666666666666705</c:v>
                </c:pt>
                <c:pt idx="6">
                  <c:v>0.93599999999999994</c:v>
                </c:pt>
                <c:pt idx="7">
                  <c:v>0.95638629283489096</c:v>
                </c:pt>
                <c:pt idx="8">
                  <c:v>0.96797153024911031</c:v>
                </c:pt>
                <c:pt idx="9">
                  <c:v>0.97599999999999998</c:v>
                </c:pt>
                <c:pt idx="10">
                  <c:v>0.97777777777777786</c:v>
                </c:pt>
              </c:numCache>
            </c:numRef>
          </c:val>
          <c:smooth val="0"/>
          <c:extLst>
            <c:ext xmlns:c16="http://schemas.microsoft.com/office/drawing/2014/chart" uri="{C3380CC4-5D6E-409C-BE32-E72D297353CC}">
              <c16:uniqueId val="{00000000-F4CC-49FF-BF24-659781CB30AC}"/>
            </c:ext>
          </c:extLst>
        </c:ser>
        <c:ser>
          <c:idx val="1"/>
          <c:order val="1"/>
          <c:tx>
            <c:strRef>
              <c:f>'FA rate=0.1'!$O$3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rate=0.1'!$P$3:$Z$3</c:f>
              <c:numCache>
                <c:formatCode>General</c:formatCode>
                <c:ptCount val="11"/>
                <c:pt idx="0">
                  <c:v>0.319888888888889</c:v>
                </c:pt>
                <c:pt idx="1">
                  <c:v>0.54400000000000004</c:v>
                </c:pt>
                <c:pt idx="2">
                  <c:v>0.70222222222222208</c:v>
                </c:pt>
                <c:pt idx="3">
                  <c:v>0.81200000000000006</c:v>
                </c:pt>
                <c:pt idx="4">
                  <c:v>0.86476868327402101</c:v>
                </c:pt>
                <c:pt idx="5">
                  <c:v>0.89777777777777801</c:v>
                </c:pt>
                <c:pt idx="6">
                  <c:v>0.95199999999999996</c:v>
                </c:pt>
                <c:pt idx="7">
                  <c:v>0.95950155763239875</c:v>
                </c:pt>
                <c:pt idx="8">
                  <c:v>0.96797153024911031</c:v>
                </c:pt>
                <c:pt idx="9">
                  <c:v>0.97599999999999998</c:v>
                </c:pt>
                <c:pt idx="10">
                  <c:v>0.98222222222222222</c:v>
                </c:pt>
              </c:numCache>
            </c:numRef>
          </c:val>
          <c:smooth val="0"/>
          <c:extLst>
            <c:ext xmlns:c16="http://schemas.microsoft.com/office/drawing/2014/chart" uri="{C3380CC4-5D6E-409C-BE32-E72D297353CC}">
              <c16:uniqueId val="{00000001-F4CC-49FF-BF24-659781CB30AC}"/>
            </c:ext>
          </c:extLst>
        </c:ser>
        <c:ser>
          <c:idx val="2"/>
          <c:order val="2"/>
          <c:tx>
            <c:strRef>
              <c:f>'FA rate=0.1'!$O$4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rate=0.1'!$P$4:$Z$4</c:f>
              <c:numCache>
                <c:formatCode>General</c:formatCode>
                <c:ptCount val="11"/>
                <c:pt idx="0">
                  <c:v>0.35111111111111104</c:v>
                </c:pt>
                <c:pt idx="1">
                  <c:v>0.58844444444444399</c:v>
                </c:pt>
                <c:pt idx="2">
                  <c:v>0.77333333333333298</c:v>
                </c:pt>
                <c:pt idx="3">
                  <c:v>0.86266666666666703</c:v>
                </c:pt>
                <c:pt idx="4">
                  <c:v>0.89323843416370097</c:v>
                </c:pt>
                <c:pt idx="5">
                  <c:v>0.93333333333333335</c:v>
                </c:pt>
                <c:pt idx="6">
                  <c:v>0.96</c:v>
                </c:pt>
                <c:pt idx="7">
                  <c:v>0.9719626168224299</c:v>
                </c:pt>
                <c:pt idx="8">
                  <c:v>0.97864768683274017</c:v>
                </c:pt>
                <c:pt idx="9">
                  <c:v>0.99199999999999999</c:v>
                </c:pt>
                <c:pt idx="10">
                  <c:v>0.99111111111111105</c:v>
                </c:pt>
              </c:numCache>
            </c:numRef>
          </c:val>
          <c:smooth val="0"/>
          <c:extLst>
            <c:ext xmlns:c16="http://schemas.microsoft.com/office/drawing/2014/chart" uri="{C3380CC4-5D6E-409C-BE32-E72D297353CC}">
              <c16:uniqueId val="{00000002-F4CC-49FF-BF24-659781CB30AC}"/>
            </c:ext>
          </c:extLst>
        </c:ser>
        <c:ser>
          <c:idx val="3"/>
          <c:order val="3"/>
          <c:tx>
            <c:strRef>
              <c:f>'FA rate=0.1'!$O$5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rate=0.1'!$P$5:$Z$5</c:f>
              <c:numCache>
                <c:formatCode>General</c:formatCode>
                <c:ptCount val="11"/>
                <c:pt idx="0">
                  <c:v>0.32444444444444398</c:v>
                </c:pt>
                <c:pt idx="1">
                  <c:v>0.55155555555555602</c:v>
                </c:pt>
                <c:pt idx="2">
                  <c:v>0.71466666666666701</c:v>
                </c:pt>
                <c:pt idx="3">
                  <c:v>0.82000000000000006</c:v>
                </c:pt>
                <c:pt idx="4">
                  <c:v>0.86654804270462593</c:v>
                </c:pt>
                <c:pt idx="5">
                  <c:v>0.90666666666666673</c:v>
                </c:pt>
                <c:pt idx="6">
                  <c:v>0.94666666666666666</c:v>
                </c:pt>
                <c:pt idx="7">
                  <c:v>0.96261682242990654</c:v>
                </c:pt>
                <c:pt idx="8">
                  <c:v>0.96797153024911031</c:v>
                </c:pt>
                <c:pt idx="9">
                  <c:v>0.97599999999999998</c:v>
                </c:pt>
                <c:pt idx="10">
                  <c:v>0.98222222222222222</c:v>
                </c:pt>
              </c:numCache>
            </c:numRef>
          </c:val>
          <c:smooth val="0"/>
          <c:extLst>
            <c:ext xmlns:c16="http://schemas.microsoft.com/office/drawing/2014/chart" uri="{C3380CC4-5D6E-409C-BE32-E72D297353CC}">
              <c16:uniqueId val="{00000003-F4CC-49FF-BF24-659781CB30AC}"/>
            </c:ext>
          </c:extLst>
        </c:ser>
        <c:ser>
          <c:idx val="4"/>
          <c:order val="4"/>
          <c:tx>
            <c:strRef>
              <c:f>'FA rate=0.1'!$O$6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rate=0.1'!$P$6:$Z$6</c:f>
              <c:numCache>
                <c:formatCode>General</c:formatCode>
                <c:ptCount val="11"/>
                <c:pt idx="0">
                  <c:v>0.32422222222222197</c:v>
                </c:pt>
                <c:pt idx="1">
                  <c:v>0.555111111111111</c:v>
                </c:pt>
                <c:pt idx="2">
                  <c:v>0.71199999999999997</c:v>
                </c:pt>
                <c:pt idx="3">
                  <c:v>0.82133333333333303</c:v>
                </c:pt>
                <c:pt idx="4">
                  <c:v>0.86832740213523096</c:v>
                </c:pt>
                <c:pt idx="5">
                  <c:v>0.90444444444444438</c:v>
                </c:pt>
                <c:pt idx="6">
                  <c:v>0.94666666666666666</c:v>
                </c:pt>
                <c:pt idx="7">
                  <c:v>0.96261682242990654</c:v>
                </c:pt>
                <c:pt idx="8">
                  <c:v>0.96797153024911031</c:v>
                </c:pt>
                <c:pt idx="9">
                  <c:v>0.98</c:v>
                </c:pt>
                <c:pt idx="10">
                  <c:v>0.98222222222222222</c:v>
                </c:pt>
              </c:numCache>
            </c:numRef>
          </c:val>
          <c:smooth val="0"/>
          <c:extLst>
            <c:ext xmlns:c16="http://schemas.microsoft.com/office/drawing/2014/chart" uri="{C3380CC4-5D6E-409C-BE32-E72D297353CC}">
              <c16:uniqueId val="{00000004-F4CC-49FF-BF24-659781CB30AC}"/>
            </c:ext>
          </c:extLst>
        </c:ser>
        <c:dLbls>
          <c:showLegendKey val="0"/>
          <c:showVal val="0"/>
          <c:showCatName val="0"/>
          <c:showSerName val="0"/>
          <c:showPercent val="0"/>
          <c:showBubbleSize val="0"/>
        </c:dLbls>
        <c:marker val="1"/>
        <c:smooth val="0"/>
        <c:axId val="978365312"/>
        <c:axId val="771187584"/>
      </c:lineChart>
      <c:catAx>
        <c:axId val="97836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187584"/>
        <c:crosses val="autoZero"/>
        <c:auto val="1"/>
        <c:lblAlgn val="ctr"/>
        <c:lblOffset val="100"/>
        <c:noMultiLvlLbl val="0"/>
      </c:catAx>
      <c:valAx>
        <c:axId val="771187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36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HR33RHYHUWRF-507899316-30021</_dlc_DocId>
    <_dlc_DocIdUrl xmlns="ca125759-a0e7-4469-93e0-e34bba23bda5">
      <Url>https://qualcomm.sharepoint.com/teams/pentari/_layouts/15/DocIdRedir.aspx?ID=HR33RHYHUWRF-507899316-30021</Url>
      <Description>HR33RHYHUWRF-507899316-30021</Description>
    </_dlc_DocIdUrl>
  </documentManagement>
</p:properties>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4.xml><?xml version="1.0" encoding="utf-8"?>
<ds:datastoreItem xmlns:ds="http://schemas.openxmlformats.org/officeDocument/2006/customXml" ds:itemID="{31D0BDB9-ECB0-4F50-B58B-4836C577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364089-0809-473C-8BC3-C38645040999}">
  <ds:schemaRefs>
    <ds:schemaRef ds:uri="http://purl.org/dc/terms/"/>
    <ds:schemaRef ds:uri="http://schemas.microsoft.com/office/2006/documentManagement/types"/>
    <ds:schemaRef ds:uri="http://www.w3.org/XML/1998/namespace"/>
    <ds:schemaRef ds:uri="http://schemas.microsoft.com/office/2006/metadata/properties"/>
    <ds:schemaRef ds:uri="http://purl.org/dc/elements/1.1/"/>
    <ds:schemaRef ds:uri="ca125759-a0e7-4469-93e0-e34bba23bda5"/>
    <ds:schemaRef ds:uri="http://schemas.microsoft.com/office/infopath/2007/PartnerControls"/>
    <ds:schemaRef ds:uri="http://schemas.openxmlformats.org/package/2006/metadata/core-properties"/>
    <ds:schemaRef ds:uri="943a219e-757a-436b-9054-f071e3c84dcc"/>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121</TotalTime>
  <Pages>32</Pages>
  <Words>13285</Words>
  <Characters>75725</Characters>
  <Application>Microsoft Office Word</Application>
  <DocSecurity>2</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88833</CharactersWithSpaces>
  <SharedDoc>false</SharedDoc>
  <HLinks>
    <vt:vector size="24" baseType="variant">
      <vt:variant>
        <vt:i4>7995400</vt:i4>
      </vt:variant>
      <vt:variant>
        <vt:i4>9</vt:i4>
      </vt:variant>
      <vt:variant>
        <vt:i4>0</vt:i4>
      </vt:variant>
      <vt:variant>
        <vt:i4>5</vt:i4>
      </vt:variant>
      <vt:variant>
        <vt:lpwstr>mailto:taesangy@qti.qualcomm.com</vt:lpwstr>
      </vt:variant>
      <vt:variant>
        <vt:lpwstr/>
      </vt:variant>
      <vt:variant>
        <vt:i4>6619152</vt:i4>
      </vt:variant>
      <vt:variant>
        <vt:i4>6</vt:i4>
      </vt:variant>
      <vt:variant>
        <vt:i4>0</vt:i4>
      </vt:variant>
      <vt:variant>
        <vt:i4>5</vt:i4>
      </vt:variant>
      <vt:variant>
        <vt:lpwstr>mailto:abdelrah@qti.qualcomm.com</vt:lpwstr>
      </vt:variant>
      <vt:variant>
        <vt:lpwstr/>
      </vt:variant>
      <vt:variant>
        <vt:i4>6619152</vt:i4>
      </vt:variant>
      <vt:variant>
        <vt:i4>3</vt:i4>
      </vt:variant>
      <vt:variant>
        <vt:i4>0</vt:i4>
      </vt:variant>
      <vt:variant>
        <vt:i4>5</vt:i4>
      </vt:variant>
      <vt:variant>
        <vt:lpwstr>mailto:abdelrah@qti.qualcomm.com</vt:lpwstr>
      </vt:variant>
      <vt:variant>
        <vt:lpwstr/>
      </vt:variant>
      <vt:variant>
        <vt:i4>7995400</vt:i4>
      </vt:variant>
      <vt:variant>
        <vt:i4>0</vt:i4>
      </vt:variant>
      <vt:variant>
        <vt:i4>0</vt:i4>
      </vt:variant>
      <vt:variant>
        <vt:i4>5</vt:i4>
      </vt:variant>
      <vt:variant>
        <vt:lpwstr>mailto:taesangy@qti.qualcomm.com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 Yoo</cp:lastModifiedBy>
  <cp:revision>53</cp:revision>
  <dcterms:created xsi:type="dcterms:W3CDTF">2025-03-28T08:50:00Z</dcterms:created>
  <dcterms:modified xsi:type="dcterms:W3CDTF">2025-03-28T19:00:00Z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62c79ac1-bc2c-489b-8313-da6522de5590</vt:lpwstr>
  </property>
</Properties>
</file>